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6CAEE873" w:rsidR="00C94ACA" w:rsidRPr="00D14E8F" w:rsidRDefault="00132DCB" w:rsidP="00307215">
      <w:pPr>
        <w:rPr>
          <w:rFonts w:ascii="Arial" w:hAnsi="Arial" w:cs="Arial"/>
          <w:b/>
          <w:bCs/>
          <w:sz w:val="28"/>
          <w:szCs w:val="28"/>
        </w:rPr>
      </w:pPr>
      <w:r>
        <w:rPr>
          <w:rFonts w:ascii="Arial" w:hAnsi="Arial" w:cs="Arial"/>
          <w:b/>
          <w:bCs/>
          <w:sz w:val="28"/>
          <w:szCs w:val="28"/>
        </w:rPr>
        <w:t>Blog</w:t>
      </w:r>
      <w:r w:rsidR="00F97323">
        <w:rPr>
          <w:rFonts w:ascii="Arial" w:hAnsi="Arial" w:cs="Arial"/>
          <w:b/>
          <w:bCs/>
          <w:sz w:val="28"/>
          <w:szCs w:val="28"/>
        </w:rPr>
        <w:t xml:space="preserve"> Post</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265975EA" w14:textId="77777777" w:rsidR="00132DCB" w:rsidRDefault="00132DCB" w:rsidP="00132DCB">
      <w:pPr>
        <w:rPr>
          <w:rFonts w:ascii="Arial" w:hAnsi="Arial" w:cs="Arial"/>
        </w:rPr>
      </w:pPr>
      <w:r w:rsidRPr="00132DCB">
        <w:rPr>
          <w:rFonts w:ascii="Arial" w:hAnsi="Arial" w:cs="Arial"/>
        </w:rPr>
        <w:t>The Tax Time Bomb of Self-Funding Long-Term Care Costs</w:t>
      </w:r>
    </w:p>
    <w:p w14:paraId="52FCC461" w14:textId="77777777" w:rsidR="00132DCB" w:rsidRPr="00132DCB" w:rsidRDefault="00132DCB" w:rsidP="00132DCB">
      <w:pPr>
        <w:rPr>
          <w:rFonts w:ascii="Arial" w:hAnsi="Arial" w:cs="Arial"/>
        </w:rPr>
      </w:pPr>
    </w:p>
    <w:p w14:paraId="510D676D" w14:textId="77777777" w:rsidR="00132DCB" w:rsidRDefault="00132DCB" w:rsidP="00132DCB">
      <w:pPr>
        <w:rPr>
          <w:rFonts w:ascii="Arial" w:hAnsi="Arial" w:cs="Arial"/>
        </w:rPr>
      </w:pPr>
      <w:r w:rsidRPr="00132DCB">
        <w:rPr>
          <w:rFonts w:ascii="Arial" w:hAnsi="Arial" w:cs="Arial"/>
        </w:rPr>
        <w:t xml:space="preserve">Undoubtedly, there are clients with enough assets to pay for care should they need it later in life. That said, this may be one of those instances where just because you can, doesn’t mean you should. </w:t>
      </w:r>
      <w:proofErr w:type="gramStart"/>
      <w:r w:rsidRPr="00132DCB">
        <w:rPr>
          <w:rFonts w:ascii="Arial" w:hAnsi="Arial" w:cs="Arial"/>
        </w:rPr>
        <w:t>More often than not</w:t>
      </w:r>
      <w:proofErr w:type="gramEnd"/>
      <w:r w:rsidRPr="00132DCB">
        <w:rPr>
          <w:rFonts w:ascii="Arial" w:hAnsi="Arial" w:cs="Arial"/>
        </w:rPr>
        <w:t xml:space="preserve"> the decision to self-fund is due, at least in part, to not wanting to think about the possibility of needing care. It also completely omits the planning component by focusing strictly on the funding.</w:t>
      </w:r>
    </w:p>
    <w:p w14:paraId="07659A5A" w14:textId="77777777" w:rsidR="00132DCB" w:rsidRPr="00132DCB" w:rsidRDefault="00132DCB" w:rsidP="00132DCB">
      <w:pPr>
        <w:rPr>
          <w:rFonts w:ascii="Arial" w:hAnsi="Arial" w:cs="Arial"/>
        </w:rPr>
      </w:pPr>
    </w:p>
    <w:p w14:paraId="0A459D23" w14:textId="77777777" w:rsidR="00132DCB" w:rsidRDefault="00132DCB" w:rsidP="00132DCB">
      <w:pPr>
        <w:rPr>
          <w:rFonts w:ascii="Arial" w:hAnsi="Arial" w:cs="Arial"/>
        </w:rPr>
      </w:pPr>
      <w:r w:rsidRPr="00132DCB">
        <w:rPr>
          <w:rFonts w:ascii="Arial" w:hAnsi="Arial" w:cs="Arial"/>
        </w:rPr>
        <w:t>In terms of funding, simply transferring this risk to an insurance company is going to provide a significant discount. What is often not factored into the decision to self-fund, however, is the impact of taxes. Unless paying with cash from a checking account that doesn’t accumulate interest, every time the client liquidates an asset to pay for their care, they are creating a taxable event. At either capital gains or ordinary income rates, the tax burden this creates can grow quickly.</w:t>
      </w:r>
    </w:p>
    <w:p w14:paraId="105C6A92" w14:textId="77777777" w:rsidR="00132DCB" w:rsidRPr="00132DCB" w:rsidRDefault="00132DCB" w:rsidP="00132DCB">
      <w:pPr>
        <w:rPr>
          <w:rFonts w:ascii="Arial" w:hAnsi="Arial" w:cs="Arial"/>
        </w:rPr>
      </w:pPr>
    </w:p>
    <w:p w14:paraId="2BAA07B5" w14:textId="77777777" w:rsidR="00132DCB" w:rsidRPr="00132DCB" w:rsidRDefault="00132DCB" w:rsidP="00132DCB">
      <w:pPr>
        <w:rPr>
          <w:rFonts w:ascii="Arial" w:hAnsi="Arial" w:cs="Arial"/>
        </w:rPr>
      </w:pPr>
      <w:r w:rsidRPr="00132DCB">
        <w:rPr>
          <w:rFonts w:ascii="Arial" w:hAnsi="Arial" w:cs="Arial"/>
        </w:rPr>
        <w:t>There are additional factors that can make this a more significant problem: </w:t>
      </w:r>
    </w:p>
    <w:p w14:paraId="34F662E0" w14:textId="77777777" w:rsidR="00132DCB" w:rsidRPr="00132DCB" w:rsidRDefault="00132DCB" w:rsidP="00132DCB">
      <w:pPr>
        <w:numPr>
          <w:ilvl w:val="0"/>
          <w:numId w:val="9"/>
        </w:numPr>
        <w:rPr>
          <w:rFonts w:ascii="Arial" w:hAnsi="Arial" w:cs="Arial"/>
        </w:rPr>
      </w:pPr>
      <w:proofErr w:type="gramStart"/>
      <w:r w:rsidRPr="00132DCB">
        <w:rPr>
          <w:rFonts w:ascii="Arial" w:hAnsi="Arial" w:cs="Arial"/>
        </w:rPr>
        <w:t>The majority of</w:t>
      </w:r>
      <w:proofErr w:type="gramEnd"/>
      <w:r w:rsidRPr="00132DCB">
        <w:rPr>
          <w:rFonts w:ascii="Arial" w:hAnsi="Arial" w:cs="Arial"/>
        </w:rPr>
        <w:t xml:space="preserve"> Americans’ wealth is tied up in their qualified plan assets. Withdrawals from these accounts to pay for care are 100% taxable at the prevailing ordinary income rates at both the state and federal level.</w:t>
      </w:r>
    </w:p>
    <w:p w14:paraId="6B3C0716" w14:textId="77777777" w:rsidR="00132DCB" w:rsidRPr="00132DCB" w:rsidRDefault="00132DCB" w:rsidP="00132DCB">
      <w:pPr>
        <w:numPr>
          <w:ilvl w:val="0"/>
          <w:numId w:val="9"/>
        </w:numPr>
        <w:rPr>
          <w:rFonts w:ascii="Arial" w:hAnsi="Arial" w:cs="Arial"/>
        </w:rPr>
      </w:pPr>
      <w:r w:rsidRPr="00132DCB">
        <w:rPr>
          <w:rFonts w:ascii="Arial" w:hAnsi="Arial" w:cs="Arial"/>
        </w:rPr>
        <w:t>Consumers holding annuity assets often have these “earmarked” as the asset they will use to pay for care. The last in, first out tax treatment of these assets again results in a 100% taxable amount at ordinary income rates until such time as all gains are exhausted. </w:t>
      </w:r>
    </w:p>
    <w:p w14:paraId="78E8BD6B" w14:textId="77777777" w:rsidR="00132DCB" w:rsidRPr="00132DCB" w:rsidRDefault="00132DCB" w:rsidP="00132DCB">
      <w:pPr>
        <w:numPr>
          <w:ilvl w:val="0"/>
          <w:numId w:val="9"/>
        </w:numPr>
        <w:rPr>
          <w:rFonts w:ascii="Arial" w:hAnsi="Arial" w:cs="Arial"/>
        </w:rPr>
      </w:pPr>
      <w:r w:rsidRPr="00132DCB">
        <w:rPr>
          <w:rFonts w:ascii="Arial" w:hAnsi="Arial" w:cs="Arial"/>
        </w:rPr>
        <w:t>The resulting increased income can also push the client into a higher tax bracket</w:t>
      </w:r>
    </w:p>
    <w:p w14:paraId="42540DCC" w14:textId="77777777" w:rsidR="00132DCB" w:rsidRDefault="00132DCB" w:rsidP="00132DCB">
      <w:pPr>
        <w:rPr>
          <w:rFonts w:ascii="Arial" w:hAnsi="Arial" w:cs="Arial"/>
        </w:rPr>
      </w:pPr>
    </w:p>
    <w:p w14:paraId="13B79767" w14:textId="44711C36" w:rsidR="00132DCB" w:rsidRPr="00132DCB" w:rsidRDefault="00132DCB" w:rsidP="00132DCB">
      <w:pPr>
        <w:rPr>
          <w:rFonts w:ascii="Arial" w:hAnsi="Arial" w:cs="Arial"/>
        </w:rPr>
      </w:pPr>
      <w:r w:rsidRPr="00132DCB">
        <w:rPr>
          <w:rFonts w:ascii="Arial" w:hAnsi="Arial" w:cs="Arial"/>
        </w:rPr>
        <w:t>Some might think that the taxes can be offset by deducting the cost of care. Maybe, but maybe not. There are two complicating factors here: </w:t>
      </w:r>
    </w:p>
    <w:p w14:paraId="053802B1" w14:textId="77777777" w:rsidR="00132DCB" w:rsidRPr="00132DCB" w:rsidRDefault="00132DCB" w:rsidP="00132DCB">
      <w:pPr>
        <w:numPr>
          <w:ilvl w:val="0"/>
          <w:numId w:val="10"/>
        </w:numPr>
        <w:rPr>
          <w:rFonts w:ascii="Arial" w:hAnsi="Arial" w:cs="Arial"/>
        </w:rPr>
      </w:pPr>
      <w:r w:rsidRPr="00132DCB">
        <w:rPr>
          <w:rFonts w:ascii="Arial" w:hAnsi="Arial" w:cs="Arial"/>
        </w:rPr>
        <w:t xml:space="preserve">Not all costs are deductible. Only the actual cost of care. In the case of an assisted living facility, that can exclude rent, as an example, which is </w:t>
      </w:r>
      <w:proofErr w:type="gramStart"/>
      <w:r w:rsidRPr="00132DCB">
        <w:rPr>
          <w:rFonts w:ascii="Arial" w:hAnsi="Arial" w:cs="Arial"/>
        </w:rPr>
        <w:t>the majority of</w:t>
      </w:r>
      <w:proofErr w:type="gramEnd"/>
      <w:r w:rsidRPr="00132DCB">
        <w:rPr>
          <w:rFonts w:ascii="Arial" w:hAnsi="Arial" w:cs="Arial"/>
        </w:rPr>
        <w:t xml:space="preserve"> the actual cost. If full time memory care is needed, then all costs, including things like rent, may be deductible.</w:t>
      </w:r>
    </w:p>
    <w:p w14:paraId="50CC0396" w14:textId="77777777" w:rsidR="00132DCB" w:rsidRPr="00132DCB" w:rsidRDefault="00132DCB" w:rsidP="00132DCB">
      <w:pPr>
        <w:numPr>
          <w:ilvl w:val="0"/>
          <w:numId w:val="10"/>
        </w:numPr>
        <w:rPr>
          <w:rFonts w:ascii="Arial" w:hAnsi="Arial" w:cs="Arial"/>
        </w:rPr>
      </w:pPr>
      <w:r w:rsidRPr="00132DCB">
        <w:rPr>
          <w:rFonts w:ascii="Arial" w:hAnsi="Arial" w:cs="Arial"/>
        </w:rPr>
        <w:t>Even if the cost is fully deductible, there is the 7.5% of AGI threshold that needs to be met before any deductions can be taken. This also assumes the client is itemizing, and for the high net worth that is likely the case. For those of more modest net worth and a simpler financial life, the current standard deduction is high enough that they may not itemize their deductions. </w:t>
      </w:r>
    </w:p>
    <w:p w14:paraId="3F6D9B97" w14:textId="77777777" w:rsidR="00132DCB" w:rsidRDefault="00132DCB" w:rsidP="00132DCB">
      <w:pPr>
        <w:rPr>
          <w:rFonts w:ascii="Arial" w:hAnsi="Arial" w:cs="Arial"/>
        </w:rPr>
      </w:pPr>
    </w:p>
    <w:p w14:paraId="16AA9A1A" w14:textId="77777777" w:rsidR="00132DCB" w:rsidRDefault="00132DCB" w:rsidP="00132DCB">
      <w:pPr>
        <w:rPr>
          <w:rFonts w:ascii="Arial" w:hAnsi="Arial" w:cs="Arial"/>
        </w:rPr>
      </w:pPr>
      <w:r w:rsidRPr="00132DCB">
        <w:rPr>
          <w:rFonts w:ascii="Arial" w:hAnsi="Arial" w:cs="Arial"/>
        </w:rPr>
        <w:t xml:space="preserve">So, what’s the moral of the story? Self-funding only makes sense if the real cost of the approach is superior to an insured solution. That determination needs to include all contributing factors to the cost of both self-funding and an insurance solution. </w:t>
      </w:r>
    </w:p>
    <w:p w14:paraId="0BD11865" w14:textId="77777777" w:rsidR="00132DCB" w:rsidRDefault="00132DCB" w:rsidP="00132DCB">
      <w:pPr>
        <w:rPr>
          <w:rFonts w:ascii="Arial" w:hAnsi="Arial" w:cs="Arial"/>
        </w:rPr>
      </w:pPr>
    </w:p>
    <w:p w14:paraId="3DB26FAD" w14:textId="29E686E0" w:rsidR="00132DCB" w:rsidRDefault="00132DCB" w:rsidP="00132DCB">
      <w:pPr>
        <w:rPr>
          <w:rFonts w:ascii="Arial" w:hAnsi="Arial" w:cs="Arial"/>
        </w:rPr>
      </w:pPr>
      <w:r w:rsidRPr="00132DCB">
        <w:rPr>
          <w:rFonts w:ascii="Arial" w:hAnsi="Arial" w:cs="Arial"/>
        </w:rPr>
        <w:t xml:space="preserve">Fortunately, there are ways to mitigate the taxes that may be triggered by either approach. In the case of an insurance solution, things like the Pension Protection Act and case designs with extended premium payment durations can be used to minimize </w:t>
      </w:r>
      <w:r w:rsidRPr="00132DCB">
        <w:rPr>
          <w:rFonts w:ascii="Arial" w:hAnsi="Arial" w:cs="Arial"/>
        </w:rPr>
        <w:lastRenderedPageBreak/>
        <w:t>or even eliminate taxes at the time of purchase. In the case of self-funding, finding loss harvesting and other strategies can reduce the net taxes due.</w:t>
      </w:r>
    </w:p>
    <w:p w14:paraId="22A16743" w14:textId="77777777" w:rsidR="00132DCB" w:rsidRPr="00132DCB" w:rsidRDefault="00132DCB" w:rsidP="00132DCB">
      <w:pPr>
        <w:rPr>
          <w:rFonts w:ascii="Arial" w:hAnsi="Arial" w:cs="Arial"/>
        </w:rPr>
      </w:pPr>
    </w:p>
    <w:p w14:paraId="0173260E" w14:textId="77777777" w:rsidR="00132DCB" w:rsidRPr="00132DCB" w:rsidRDefault="00132DCB" w:rsidP="00132DCB">
      <w:pPr>
        <w:rPr>
          <w:rFonts w:ascii="Arial" w:hAnsi="Arial" w:cs="Arial"/>
        </w:rPr>
      </w:pPr>
      <w:r w:rsidRPr="00132DCB">
        <w:rPr>
          <w:rFonts w:ascii="Arial" w:hAnsi="Arial" w:cs="Arial"/>
        </w:rPr>
        <w:t>The crux of the matter is asking a very simple question of those who plan to self-fund: Have you thought about which assets you will use to fund care, and did you consider the tax ramifications of your strategy? The subsequent conversation may point to an insurance solution more often than you think.</w:t>
      </w:r>
    </w:p>
    <w:p w14:paraId="692F8D22" w14:textId="77777777" w:rsidR="00E239E2" w:rsidRPr="00D14E8F" w:rsidRDefault="00E239E2" w:rsidP="00132DCB">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18335" w14:textId="77777777" w:rsidR="003173EB" w:rsidRDefault="003173EB" w:rsidP="00E239E2">
      <w:r>
        <w:separator/>
      </w:r>
    </w:p>
  </w:endnote>
  <w:endnote w:type="continuationSeparator" w:id="0">
    <w:p w14:paraId="421BAA44" w14:textId="77777777" w:rsidR="003173EB" w:rsidRDefault="003173EB"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E30C0" w14:textId="77777777" w:rsidR="003173EB" w:rsidRDefault="003173EB" w:rsidP="00E239E2">
      <w:r>
        <w:separator/>
      </w:r>
    </w:p>
  </w:footnote>
  <w:footnote w:type="continuationSeparator" w:id="0">
    <w:p w14:paraId="51FD100F" w14:textId="77777777" w:rsidR="003173EB" w:rsidRDefault="003173EB"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21914"/>
    <w:multiLevelType w:val="multilevel"/>
    <w:tmpl w:val="8536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3291A"/>
    <w:multiLevelType w:val="multilevel"/>
    <w:tmpl w:val="2706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F4269"/>
    <w:multiLevelType w:val="multilevel"/>
    <w:tmpl w:val="D724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7"/>
  </w:num>
  <w:num w:numId="2" w16cid:durableId="457724416">
    <w:abstractNumId w:val="0"/>
  </w:num>
  <w:num w:numId="3" w16cid:durableId="1282228325">
    <w:abstractNumId w:val="6"/>
  </w:num>
  <w:num w:numId="4" w16cid:durableId="201332239">
    <w:abstractNumId w:val="4"/>
  </w:num>
  <w:num w:numId="5" w16cid:durableId="1000305217">
    <w:abstractNumId w:val="9"/>
  </w:num>
  <w:num w:numId="6" w16cid:durableId="871846881">
    <w:abstractNumId w:val="2"/>
  </w:num>
  <w:num w:numId="7" w16cid:durableId="34358076">
    <w:abstractNumId w:val="3"/>
  </w:num>
  <w:num w:numId="8" w16cid:durableId="1175337333">
    <w:abstractNumId w:val="1"/>
  </w:num>
  <w:num w:numId="9" w16cid:durableId="1522040196">
    <w:abstractNumId w:val="5"/>
  </w:num>
  <w:num w:numId="10" w16cid:durableId="9163282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32DCB"/>
    <w:rsid w:val="001502D6"/>
    <w:rsid w:val="00151908"/>
    <w:rsid w:val="002F4D4F"/>
    <w:rsid w:val="00307215"/>
    <w:rsid w:val="003173EB"/>
    <w:rsid w:val="004378F4"/>
    <w:rsid w:val="00483BC6"/>
    <w:rsid w:val="00645220"/>
    <w:rsid w:val="00654F38"/>
    <w:rsid w:val="00A10F6A"/>
    <w:rsid w:val="00A6149A"/>
    <w:rsid w:val="00A82741"/>
    <w:rsid w:val="00AB2DAD"/>
    <w:rsid w:val="00AD6808"/>
    <w:rsid w:val="00AF254E"/>
    <w:rsid w:val="00BF2C8D"/>
    <w:rsid w:val="00C94ACA"/>
    <w:rsid w:val="00D14E8F"/>
    <w:rsid w:val="00D733DD"/>
    <w:rsid w:val="00E239E2"/>
    <w:rsid w:val="00EE20C7"/>
    <w:rsid w:val="00F83A0C"/>
    <w:rsid w:val="00F873BD"/>
    <w:rsid w:val="00F9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97323"/>
    <w:rPr>
      <w:color w:val="467886" w:themeColor="hyperlink"/>
      <w:u w:val="single"/>
    </w:rPr>
  </w:style>
  <w:style w:type="character" w:styleId="UnresolvedMention">
    <w:name w:val="Unresolved Mention"/>
    <w:basedOn w:val="DefaultParagraphFont"/>
    <w:uiPriority w:val="99"/>
    <w:semiHidden/>
    <w:unhideWhenUsed/>
    <w:rsid w:val="00F97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54845">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323515137">
      <w:bodyDiv w:val="1"/>
      <w:marLeft w:val="0"/>
      <w:marRight w:val="0"/>
      <w:marTop w:val="0"/>
      <w:marBottom w:val="0"/>
      <w:divBdr>
        <w:top w:val="none" w:sz="0" w:space="0" w:color="auto"/>
        <w:left w:val="none" w:sz="0" w:space="0" w:color="auto"/>
        <w:bottom w:val="none" w:sz="0" w:space="0" w:color="auto"/>
        <w:right w:val="none" w:sz="0" w:space="0" w:color="auto"/>
      </w:divBdr>
      <w:divsChild>
        <w:div w:id="1897037250">
          <w:marLeft w:val="0"/>
          <w:marRight w:val="0"/>
          <w:marTop w:val="0"/>
          <w:marBottom w:val="0"/>
          <w:divBdr>
            <w:top w:val="none" w:sz="0" w:space="0" w:color="auto"/>
            <w:left w:val="none" w:sz="0" w:space="0" w:color="auto"/>
            <w:bottom w:val="none" w:sz="0" w:space="0" w:color="auto"/>
            <w:right w:val="none" w:sz="0" w:space="0" w:color="auto"/>
          </w:divBdr>
          <w:divsChild>
            <w:div w:id="719978529">
              <w:marLeft w:val="0"/>
              <w:marRight w:val="0"/>
              <w:marTop w:val="0"/>
              <w:marBottom w:val="0"/>
              <w:divBdr>
                <w:top w:val="none" w:sz="0" w:space="0" w:color="auto"/>
                <w:left w:val="none" w:sz="0" w:space="0" w:color="auto"/>
                <w:bottom w:val="none" w:sz="0" w:space="0" w:color="auto"/>
                <w:right w:val="none" w:sz="0" w:space="0" w:color="auto"/>
              </w:divBdr>
              <w:divsChild>
                <w:div w:id="1493066713">
                  <w:marLeft w:val="0"/>
                  <w:marRight w:val="0"/>
                  <w:marTop w:val="0"/>
                  <w:marBottom w:val="0"/>
                  <w:divBdr>
                    <w:top w:val="none" w:sz="0" w:space="0" w:color="auto"/>
                    <w:left w:val="none" w:sz="0" w:space="0" w:color="auto"/>
                    <w:bottom w:val="none" w:sz="0" w:space="0" w:color="auto"/>
                    <w:right w:val="none" w:sz="0" w:space="0" w:color="auto"/>
                  </w:divBdr>
                  <w:divsChild>
                    <w:div w:id="85805217">
                      <w:marLeft w:val="0"/>
                      <w:marRight w:val="0"/>
                      <w:marTop w:val="0"/>
                      <w:marBottom w:val="0"/>
                      <w:divBdr>
                        <w:top w:val="none" w:sz="0" w:space="0" w:color="auto"/>
                        <w:left w:val="none" w:sz="0" w:space="0" w:color="auto"/>
                        <w:bottom w:val="none" w:sz="0" w:space="0" w:color="auto"/>
                        <w:right w:val="none" w:sz="0" w:space="0" w:color="auto"/>
                      </w:divBdr>
                      <w:divsChild>
                        <w:div w:id="915087295">
                          <w:marLeft w:val="0"/>
                          <w:marRight w:val="0"/>
                          <w:marTop w:val="0"/>
                          <w:marBottom w:val="0"/>
                          <w:divBdr>
                            <w:top w:val="none" w:sz="0" w:space="0" w:color="auto"/>
                            <w:left w:val="none" w:sz="0" w:space="0" w:color="auto"/>
                            <w:bottom w:val="none" w:sz="0" w:space="0" w:color="auto"/>
                            <w:right w:val="none" w:sz="0" w:space="0" w:color="auto"/>
                          </w:divBdr>
                          <w:divsChild>
                            <w:div w:id="193423292">
                              <w:marLeft w:val="0"/>
                              <w:marRight w:val="0"/>
                              <w:marTop w:val="0"/>
                              <w:marBottom w:val="0"/>
                              <w:divBdr>
                                <w:top w:val="none" w:sz="0" w:space="0" w:color="auto"/>
                                <w:left w:val="none" w:sz="0" w:space="0" w:color="auto"/>
                                <w:bottom w:val="none" w:sz="0" w:space="0" w:color="auto"/>
                                <w:right w:val="none" w:sz="0" w:space="0" w:color="auto"/>
                              </w:divBdr>
                              <w:divsChild>
                                <w:div w:id="2111928522">
                                  <w:marLeft w:val="0"/>
                                  <w:marRight w:val="0"/>
                                  <w:marTop w:val="0"/>
                                  <w:marBottom w:val="0"/>
                                  <w:divBdr>
                                    <w:top w:val="none" w:sz="0" w:space="0" w:color="auto"/>
                                    <w:left w:val="none" w:sz="0" w:space="0" w:color="auto"/>
                                    <w:bottom w:val="none" w:sz="0" w:space="0" w:color="auto"/>
                                    <w:right w:val="none" w:sz="0" w:space="0" w:color="auto"/>
                                  </w:divBdr>
                                  <w:divsChild>
                                    <w:div w:id="2098011448">
                                      <w:marLeft w:val="0"/>
                                      <w:marRight w:val="0"/>
                                      <w:marTop w:val="0"/>
                                      <w:marBottom w:val="0"/>
                                      <w:divBdr>
                                        <w:top w:val="none" w:sz="0" w:space="0" w:color="auto"/>
                                        <w:left w:val="none" w:sz="0" w:space="0" w:color="auto"/>
                                        <w:bottom w:val="none" w:sz="0" w:space="0" w:color="auto"/>
                                        <w:right w:val="none" w:sz="0" w:space="0" w:color="auto"/>
                                      </w:divBdr>
                                      <w:divsChild>
                                        <w:div w:id="491801038">
                                          <w:marLeft w:val="0"/>
                                          <w:marRight w:val="0"/>
                                          <w:marTop w:val="0"/>
                                          <w:marBottom w:val="0"/>
                                          <w:divBdr>
                                            <w:top w:val="none" w:sz="0" w:space="0" w:color="auto"/>
                                            <w:left w:val="none" w:sz="0" w:space="0" w:color="auto"/>
                                            <w:bottom w:val="none" w:sz="0" w:space="0" w:color="auto"/>
                                            <w:right w:val="none" w:sz="0" w:space="0" w:color="auto"/>
                                          </w:divBdr>
                                          <w:divsChild>
                                            <w:div w:id="69234413">
                                              <w:marLeft w:val="0"/>
                                              <w:marRight w:val="0"/>
                                              <w:marTop w:val="0"/>
                                              <w:marBottom w:val="0"/>
                                              <w:divBdr>
                                                <w:top w:val="none" w:sz="0" w:space="0" w:color="auto"/>
                                                <w:left w:val="none" w:sz="0" w:space="0" w:color="auto"/>
                                                <w:bottom w:val="none" w:sz="0" w:space="0" w:color="auto"/>
                                                <w:right w:val="none" w:sz="0" w:space="0" w:color="auto"/>
                                              </w:divBdr>
                                              <w:divsChild>
                                                <w:div w:id="1259682186">
                                                  <w:marLeft w:val="0"/>
                                                  <w:marRight w:val="0"/>
                                                  <w:marTop w:val="0"/>
                                                  <w:marBottom w:val="0"/>
                                                  <w:divBdr>
                                                    <w:top w:val="none" w:sz="0" w:space="0" w:color="auto"/>
                                                    <w:left w:val="none" w:sz="0" w:space="0" w:color="auto"/>
                                                    <w:bottom w:val="none" w:sz="0" w:space="0" w:color="auto"/>
                                                    <w:right w:val="none" w:sz="0" w:space="0" w:color="auto"/>
                                                  </w:divBdr>
                                                  <w:divsChild>
                                                    <w:div w:id="19649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89670">
          <w:marLeft w:val="0"/>
          <w:marRight w:val="0"/>
          <w:marTop w:val="0"/>
          <w:marBottom w:val="0"/>
          <w:divBdr>
            <w:top w:val="none" w:sz="0" w:space="0" w:color="auto"/>
            <w:left w:val="none" w:sz="0" w:space="0" w:color="auto"/>
            <w:bottom w:val="none" w:sz="0" w:space="0" w:color="auto"/>
            <w:right w:val="none" w:sz="0" w:space="0" w:color="auto"/>
          </w:divBdr>
          <w:divsChild>
            <w:div w:id="559511998">
              <w:marLeft w:val="0"/>
              <w:marRight w:val="0"/>
              <w:marTop w:val="0"/>
              <w:marBottom w:val="0"/>
              <w:divBdr>
                <w:top w:val="none" w:sz="0" w:space="0" w:color="auto"/>
                <w:left w:val="none" w:sz="0" w:space="0" w:color="auto"/>
                <w:bottom w:val="none" w:sz="0" w:space="0" w:color="auto"/>
                <w:right w:val="none" w:sz="0" w:space="0" w:color="auto"/>
              </w:divBdr>
            </w:div>
            <w:div w:id="411662422">
              <w:marLeft w:val="0"/>
              <w:marRight w:val="0"/>
              <w:marTop w:val="0"/>
              <w:marBottom w:val="0"/>
              <w:divBdr>
                <w:top w:val="none" w:sz="0" w:space="0" w:color="auto"/>
                <w:left w:val="none" w:sz="0" w:space="0" w:color="auto"/>
                <w:bottom w:val="none" w:sz="0" w:space="0" w:color="auto"/>
                <w:right w:val="none" w:sz="0" w:space="0" w:color="auto"/>
              </w:divBdr>
              <w:divsChild>
                <w:div w:id="445662120">
                  <w:marLeft w:val="0"/>
                  <w:marRight w:val="0"/>
                  <w:marTop w:val="0"/>
                  <w:marBottom w:val="0"/>
                  <w:divBdr>
                    <w:top w:val="none" w:sz="0" w:space="0" w:color="auto"/>
                    <w:left w:val="none" w:sz="0" w:space="0" w:color="auto"/>
                    <w:bottom w:val="none" w:sz="0" w:space="0" w:color="auto"/>
                    <w:right w:val="none" w:sz="0" w:space="0" w:color="auto"/>
                  </w:divBdr>
                  <w:divsChild>
                    <w:div w:id="1863738169">
                      <w:marLeft w:val="0"/>
                      <w:marRight w:val="0"/>
                      <w:marTop w:val="0"/>
                      <w:marBottom w:val="0"/>
                      <w:divBdr>
                        <w:top w:val="none" w:sz="0" w:space="0" w:color="auto"/>
                        <w:left w:val="none" w:sz="0" w:space="0" w:color="auto"/>
                        <w:bottom w:val="none" w:sz="0" w:space="0" w:color="auto"/>
                        <w:right w:val="none" w:sz="0" w:space="0" w:color="auto"/>
                      </w:divBdr>
                      <w:divsChild>
                        <w:div w:id="2112897313">
                          <w:marLeft w:val="0"/>
                          <w:marRight w:val="0"/>
                          <w:marTop w:val="0"/>
                          <w:marBottom w:val="0"/>
                          <w:divBdr>
                            <w:top w:val="none" w:sz="0" w:space="0" w:color="auto"/>
                            <w:left w:val="none" w:sz="0" w:space="0" w:color="auto"/>
                            <w:bottom w:val="none" w:sz="0" w:space="0" w:color="auto"/>
                            <w:right w:val="none" w:sz="0" w:space="0" w:color="auto"/>
                          </w:divBdr>
                          <w:divsChild>
                            <w:div w:id="213395158">
                              <w:marLeft w:val="0"/>
                              <w:marRight w:val="0"/>
                              <w:marTop w:val="0"/>
                              <w:marBottom w:val="360"/>
                              <w:divBdr>
                                <w:top w:val="none" w:sz="0" w:space="0" w:color="auto"/>
                                <w:left w:val="none" w:sz="0" w:space="0" w:color="auto"/>
                                <w:bottom w:val="none" w:sz="0" w:space="0" w:color="auto"/>
                                <w:right w:val="none" w:sz="0" w:space="0" w:color="auto"/>
                              </w:divBdr>
                            </w:div>
                          </w:divsChild>
                        </w:div>
                        <w:div w:id="1181505318">
                          <w:marLeft w:val="2436"/>
                          <w:marRight w:val="0"/>
                          <w:marTop w:val="0"/>
                          <w:marBottom w:val="0"/>
                          <w:divBdr>
                            <w:top w:val="none" w:sz="0" w:space="0" w:color="auto"/>
                            <w:left w:val="none" w:sz="0" w:space="0" w:color="auto"/>
                            <w:bottom w:val="none" w:sz="0" w:space="0" w:color="auto"/>
                            <w:right w:val="none" w:sz="0" w:space="0" w:color="auto"/>
                          </w:divBdr>
                          <w:divsChild>
                            <w:div w:id="65195644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69796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01327716">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04433911">
      <w:bodyDiv w:val="1"/>
      <w:marLeft w:val="0"/>
      <w:marRight w:val="0"/>
      <w:marTop w:val="0"/>
      <w:marBottom w:val="0"/>
      <w:divBdr>
        <w:top w:val="none" w:sz="0" w:space="0" w:color="auto"/>
        <w:left w:val="none" w:sz="0" w:space="0" w:color="auto"/>
        <w:bottom w:val="none" w:sz="0" w:space="0" w:color="auto"/>
        <w:right w:val="none" w:sz="0" w:space="0" w:color="auto"/>
      </w:divBdr>
    </w:div>
    <w:div w:id="1041246891">
      <w:bodyDiv w:val="1"/>
      <w:marLeft w:val="0"/>
      <w:marRight w:val="0"/>
      <w:marTop w:val="0"/>
      <w:marBottom w:val="0"/>
      <w:divBdr>
        <w:top w:val="none" w:sz="0" w:space="0" w:color="auto"/>
        <w:left w:val="none" w:sz="0" w:space="0" w:color="auto"/>
        <w:bottom w:val="none" w:sz="0" w:space="0" w:color="auto"/>
        <w:right w:val="none" w:sz="0" w:space="0" w:color="auto"/>
      </w:divBdr>
    </w:div>
    <w:div w:id="1090783405">
      <w:bodyDiv w:val="1"/>
      <w:marLeft w:val="0"/>
      <w:marRight w:val="0"/>
      <w:marTop w:val="0"/>
      <w:marBottom w:val="0"/>
      <w:divBdr>
        <w:top w:val="none" w:sz="0" w:space="0" w:color="auto"/>
        <w:left w:val="none" w:sz="0" w:space="0" w:color="auto"/>
        <w:bottom w:val="none" w:sz="0" w:space="0" w:color="auto"/>
        <w:right w:val="none" w:sz="0" w:space="0" w:color="auto"/>
      </w:divBdr>
    </w:div>
    <w:div w:id="1164467893">
      <w:bodyDiv w:val="1"/>
      <w:marLeft w:val="0"/>
      <w:marRight w:val="0"/>
      <w:marTop w:val="0"/>
      <w:marBottom w:val="0"/>
      <w:divBdr>
        <w:top w:val="none" w:sz="0" w:space="0" w:color="auto"/>
        <w:left w:val="none" w:sz="0" w:space="0" w:color="auto"/>
        <w:bottom w:val="none" w:sz="0" w:space="0" w:color="auto"/>
        <w:right w:val="none" w:sz="0" w:space="0" w:color="auto"/>
      </w:divBdr>
    </w:div>
    <w:div w:id="17464892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260">
          <w:marLeft w:val="0"/>
          <w:marRight w:val="0"/>
          <w:marTop w:val="0"/>
          <w:marBottom w:val="0"/>
          <w:divBdr>
            <w:top w:val="none" w:sz="0" w:space="0" w:color="auto"/>
            <w:left w:val="none" w:sz="0" w:space="0" w:color="auto"/>
            <w:bottom w:val="none" w:sz="0" w:space="0" w:color="auto"/>
            <w:right w:val="none" w:sz="0" w:space="0" w:color="auto"/>
          </w:divBdr>
          <w:divsChild>
            <w:div w:id="1917204383">
              <w:marLeft w:val="0"/>
              <w:marRight w:val="0"/>
              <w:marTop w:val="0"/>
              <w:marBottom w:val="0"/>
              <w:divBdr>
                <w:top w:val="none" w:sz="0" w:space="0" w:color="auto"/>
                <w:left w:val="none" w:sz="0" w:space="0" w:color="auto"/>
                <w:bottom w:val="none" w:sz="0" w:space="0" w:color="auto"/>
                <w:right w:val="none" w:sz="0" w:space="0" w:color="auto"/>
              </w:divBdr>
              <w:divsChild>
                <w:div w:id="1049718992">
                  <w:marLeft w:val="0"/>
                  <w:marRight w:val="0"/>
                  <w:marTop w:val="0"/>
                  <w:marBottom w:val="0"/>
                  <w:divBdr>
                    <w:top w:val="none" w:sz="0" w:space="0" w:color="auto"/>
                    <w:left w:val="none" w:sz="0" w:space="0" w:color="auto"/>
                    <w:bottom w:val="none" w:sz="0" w:space="0" w:color="auto"/>
                    <w:right w:val="none" w:sz="0" w:space="0" w:color="auto"/>
                  </w:divBdr>
                  <w:divsChild>
                    <w:div w:id="907308511">
                      <w:marLeft w:val="0"/>
                      <w:marRight w:val="0"/>
                      <w:marTop w:val="0"/>
                      <w:marBottom w:val="0"/>
                      <w:divBdr>
                        <w:top w:val="none" w:sz="0" w:space="0" w:color="auto"/>
                        <w:left w:val="none" w:sz="0" w:space="0" w:color="auto"/>
                        <w:bottom w:val="none" w:sz="0" w:space="0" w:color="auto"/>
                        <w:right w:val="none" w:sz="0" w:space="0" w:color="auto"/>
                      </w:divBdr>
                      <w:divsChild>
                        <w:div w:id="429275288">
                          <w:marLeft w:val="0"/>
                          <w:marRight w:val="0"/>
                          <w:marTop w:val="0"/>
                          <w:marBottom w:val="0"/>
                          <w:divBdr>
                            <w:top w:val="none" w:sz="0" w:space="0" w:color="auto"/>
                            <w:left w:val="none" w:sz="0" w:space="0" w:color="auto"/>
                            <w:bottom w:val="none" w:sz="0" w:space="0" w:color="auto"/>
                            <w:right w:val="none" w:sz="0" w:space="0" w:color="auto"/>
                          </w:divBdr>
                          <w:divsChild>
                            <w:div w:id="1326326303">
                              <w:marLeft w:val="0"/>
                              <w:marRight w:val="0"/>
                              <w:marTop w:val="0"/>
                              <w:marBottom w:val="0"/>
                              <w:divBdr>
                                <w:top w:val="none" w:sz="0" w:space="0" w:color="auto"/>
                                <w:left w:val="none" w:sz="0" w:space="0" w:color="auto"/>
                                <w:bottom w:val="none" w:sz="0" w:space="0" w:color="auto"/>
                                <w:right w:val="none" w:sz="0" w:space="0" w:color="auto"/>
                              </w:divBdr>
                              <w:divsChild>
                                <w:div w:id="984511695">
                                  <w:marLeft w:val="0"/>
                                  <w:marRight w:val="0"/>
                                  <w:marTop w:val="0"/>
                                  <w:marBottom w:val="0"/>
                                  <w:divBdr>
                                    <w:top w:val="none" w:sz="0" w:space="0" w:color="auto"/>
                                    <w:left w:val="none" w:sz="0" w:space="0" w:color="auto"/>
                                    <w:bottom w:val="none" w:sz="0" w:space="0" w:color="auto"/>
                                    <w:right w:val="none" w:sz="0" w:space="0" w:color="auto"/>
                                  </w:divBdr>
                                  <w:divsChild>
                                    <w:div w:id="485821025">
                                      <w:marLeft w:val="0"/>
                                      <w:marRight w:val="0"/>
                                      <w:marTop w:val="0"/>
                                      <w:marBottom w:val="0"/>
                                      <w:divBdr>
                                        <w:top w:val="none" w:sz="0" w:space="0" w:color="auto"/>
                                        <w:left w:val="none" w:sz="0" w:space="0" w:color="auto"/>
                                        <w:bottom w:val="none" w:sz="0" w:space="0" w:color="auto"/>
                                        <w:right w:val="none" w:sz="0" w:space="0" w:color="auto"/>
                                      </w:divBdr>
                                      <w:divsChild>
                                        <w:div w:id="1952543719">
                                          <w:marLeft w:val="0"/>
                                          <w:marRight w:val="0"/>
                                          <w:marTop w:val="0"/>
                                          <w:marBottom w:val="0"/>
                                          <w:divBdr>
                                            <w:top w:val="none" w:sz="0" w:space="0" w:color="auto"/>
                                            <w:left w:val="none" w:sz="0" w:space="0" w:color="auto"/>
                                            <w:bottom w:val="none" w:sz="0" w:space="0" w:color="auto"/>
                                            <w:right w:val="none" w:sz="0" w:space="0" w:color="auto"/>
                                          </w:divBdr>
                                          <w:divsChild>
                                            <w:div w:id="678193015">
                                              <w:marLeft w:val="0"/>
                                              <w:marRight w:val="0"/>
                                              <w:marTop w:val="0"/>
                                              <w:marBottom w:val="0"/>
                                              <w:divBdr>
                                                <w:top w:val="none" w:sz="0" w:space="0" w:color="auto"/>
                                                <w:left w:val="none" w:sz="0" w:space="0" w:color="auto"/>
                                                <w:bottom w:val="none" w:sz="0" w:space="0" w:color="auto"/>
                                                <w:right w:val="none" w:sz="0" w:space="0" w:color="auto"/>
                                              </w:divBdr>
                                              <w:divsChild>
                                                <w:div w:id="1298339579">
                                                  <w:marLeft w:val="0"/>
                                                  <w:marRight w:val="0"/>
                                                  <w:marTop w:val="0"/>
                                                  <w:marBottom w:val="0"/>
                                                  <w:divBdr>
                                                    <w:top w:val="none" w:sz="0" w:space="0" w:color="auto"/>
                                                    <w:left w:val="none" w:sz="0" w:space="0" w:color="auto"/>
                                                    <w:bottom w:val="none" w:sz="0" w:space="0" w:color="auto"/>
                                                    <w:right w:val="none" w:sz="0" w:space="0" w:color="auto"/>
                                                  </w:divBdr>
                                                  <w:divsChild>
                                                    <w:div w:id="619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6417">
          <w:marLeft w:val="0"/>
          <w:marRight w:val="0"/>
          <w:marTop w:val="0"/>
          <w:marBottom w:val="0"/>
          <w:divBdr>
            <w:top w:val="none" w:sz="0" w:space="0" w:color="auto"/>
            <w:left w:val="none" w:sz="0" w:space="0" w:color="auto"/>
            <w:bottom w:val="none" w:sz="0" w:space="0" w:color="auto"/>
            <w:right w:val="none" w:sz="0" w:space="0" w:color="auto"/>
          </w:divBdr>
          <w:divsChild>
            <w:div w:id="169685894">
              <w:marLeft w:val="0"/>
              <w:marRight w:val="0"/>
              <w:marTop w:val="0"/>
              <w:marBottom w:val="0"/>
              <w:divBdr>
                <w:top w:val="none" w:sz="0" w:space="0" w:color="auto"/>
                <w:left w:val="none" w:sz="0" w:space="0" w:color="auto"/>
                <w:bottom w:val="none" w:sz="0" w:space="0" w:color="auto"/>
                <w:right w:val="none" w:sz="0" w:space="0" w:color="auto"/>
              </w:divBdr>
            </w:div>
            <w:div w:id="1874538227">
              <w:marLeft w:val="0"/>
              <w:marRight w:val="0"/>
              <w:marTop w:val="0"/>
              <w:marBottom w:val="0"/>
              <w:divBdr>
                <w:top w:val="none" w:sz="0" w:space="0" w:color="auto"/>
                <w:left w:val="none" w:sz="0" w:space="0" w:color="auto"/>
                <w:bottom w:val="none" w:sz="0" w:space="0" w:color="auto"/>
                <w:right w:val="none" w:sz="0" w:space="0" w:color="auto"/>
              </w:divBdr>
              <w:divsChild>
                <w:div w:id="1718817493">
                  <w:marLeft w:val="0"/>
                  <w:marRight w:val="0"/>
                  <w:marTop w:val="0"/>
                  <w:marBottom w:val="0"/>
                  <w:divBdr>
                    <w:top w:val="none" w:sz="0" w:space="0" w:color="auto"/>
                    <w:left w:val="none" w:sz="0" w:space="0" w:color="auto"/>
                    <w:bottom w:val="none" w:sz="0" w:space="0" w:color="auto"/>
                    <w:right w:val="none" w:sz="0" w:space="0" w:color="auto"/>
                  </w:divBdr>
                  <w:divsChild>
                    <w:div w:id="1894148826">
                      <w:marLeft w:val="0"/>
                      <w:marRight w:val="0"/>
                      <w:marTop w:val="0"/>
                      <w:marBottom w:val="0"/>
                      <w:divBdr>
                        <w:top w:val="none" w:sz="0" w:space="0" w:color="auto"/>
                        <w:left w:val="none" w:sz="0" w:space="0" w:color="auto"/>
                        <w:bottom w:val="none" w:sz="0" w:space="0" w:color="auto"/>
                        <w:right w:val="none" w:sz="0" w:space="0" w:color="auto"/>
                      </w:divBdr>
                      <w:divsChild>
                        <w:div w:id="328482571">
                          <w:marLeft w:val="0"/>
                          <w:marRight w:val="0"/>
                          <w:marTop w:val="0"/>
                          <w:marBottom w:val="0"/>
                          <w:divBdr>
                            <w:top w:val="none" w:sz="0" w:space="0" w:color="auto"/>
                            <w:left w:val="none" w:sz="0" w:space="0" w:color="auto"/>
                            <w:bottom w:val="none" w:sz="0" w:space="0" w:color="auto"/>
                            <w:right w:val="none" w:sz="0" w:space="0" w:color="auto"/>
                          </w:divBdr>
                          <w:divsChild>
                            <w:div w:id="797724808">
                              <w:marLeft w:val="0"/>
                              <w:marRight w:val="0"/>
                              <w:marTop w:val="0"/>
                              <w:marBottom w:val="360"/>
                              <w:divBdr>
                                <w:top w:val="none" w:sz="0" w:space="0" w:color="auto"/>
                                <w:left w:val="none" w:sz="0" w:space="0" w:color="auto"/>
                                <w:bottom w:val="none" w:sz="0" w:space="0" w:color="auto"/>
                                <w:right w:val="none" w:sz="0" w:space="0" w:color="auto"/>
                              </w:divBdr>
                            </w:div>
                          </w:divsChild>
                        </w:div>
                        <w:div w:id="726225298">
                          <w:marLeft w:val="2436"/>
                          <w:marRight w:val="0"/>
                          <w:marTop w:val="0"/>
                          <w:marBottom w:val="0"/>
                          <w:divBdr>
                            <w:top w:val="none" w:sz="0" w:space="0" w:color="auto"/>
                            <w:left w:val="none" w:sz="0" w:space="0" w:color="auto"/>
                            <w:bottom w:val="none" w:sz="0" w:space="0" w:color="auto"/>
                            <w:right w:val="none" w:sz="0" w:space="0" w:color="auto"/>
                          </w:divBdr>
                          <w:divsChild>
                            <w:div w:id="88683625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78017966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893036499">
      <w:bodyDiv w:val="1"/>
      <w:marLeft w:val="0"/>
      <w:marRight w:val="0"/>
      <w:marTop w:val="0"/>
      <w:marBottom w:val="0"/>
      <w:divBdr>
        <w:top w:val="none" w:sz="0" w:space="0" w:color="auto"/>
        <w:left w:val="none" w:sz="0" w:space="0" w:color="auto"/>
        <w:bottom w:val="none" w:sz="0" w:space="0" w:color="auto"/>
        <w:right w:val="none" w:sz="0" w:space="0" w:color="auto"/>
      </w:divBdr>
    </w:div>
    <w:div w:id="194210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2024-10-08T19:29:00Z</dcterms:created>
  <dcterms:modified xsi:type="dcterms:W3CDTF">2024-10-08T19:29:00Z</dcterms:modified>
</cp:coreProperties>
</file>