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11FD597" w:rsidR="00C94ACA" w:rsidRPr="00D14E8F" w:rsidRDefault="003B5A99" w:rsidP="00307215">
      <w:pPr>
        <w:rPr>
          <w:rFonts w:ascii="Arial" w:hAnsi="Arial" w:cs="Arial"/>
          <w:b/>
          <w:bCs/>
          <w:sz w:val="28"/>
          <w:szCs w:val="28"/>
        </w:rPr>
      </w:pPr>
      <w:r>
        <w:rPr>
          <w:rFonts w:ascii="Arial" w:hAnsi="Arial" w:cs="Arial"/>
          <w:b/>
          <w:bCs/>
          <w:sz w:val="28"/>
          <w:szCs w:val="28"/>
        </w:rPr>
        <w:t>LinkedIn</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3C18CF03" w14:textId="31842409" w:rsidR="003B5A99" w:rsidRDefault="003B5A99" w:rsidP="003B5A99">
      <w:pPr>
        <w:rPr>
          <w:rFonts w:ascii="Arial" w:hAnsi="Arial" w:cs="Arial"/>
        </w:rPr>
      </w:pPr>
      <w:r w:rsidRPr="003B5A99">
        <w:rPr>
          <w:rFonts w:ascii="Arial" w:hAnsi="Arial" w:cs="Arial"/>
        </w:rPr>
        <w:t>When the Supreme Court took up the Connelly case, virtually no one anticipated the decision would have a far-reaching impact on buy/sell agreements and estate planning. The facts of the case were believed to be unique enough that they would serve as nothing more than a cautionary tale. The lack of periodic review and ongoing management of the agreement and funding rendered the Connelly family vulnerable upon audit. The prudent client and advisor could avoid the issue all together by simply following best practices.</w:t>
      </w:r>
    </w:p>
    <w:p w14:paraId="53DB28F7" w14:textId="77777777" w:rsidR="003B5A99" w:rsidRPr="003B5A99" w:rsidRDefault="003B5A99" w:rsidP="003B5A99">
      <w:pPr>
        <w:rPr>
          <w:rFonts w:ascii="Arial" w:hAnsi="Arial" w:cs="Arial"/>
        </w:rPr>
      </w:pPr>
    </w:p>
    <w:p w14:paraId="1ECA8CAB" w14:textId="77777777" w:rsidR="003B5A99" w:rsidRDefault="003B5A99" w:rsidP="003B5A99">
      <w:pPr>
        <w:rPr>
          <w:rFonts w:ascii="Arial" w:hAnsi="Arial" w:cs="Arial"/>
        </w:rPr>
      </w:pPr>
      <w:r w:rsidRPr="003B5A99">
        <w:rPr>
          <w:rFonts w:ascii="Arial" w:hAnsi="Arial" w:cs="Arial"/>
        </w:rPr>
        <w:t xml:space="preserve">Ultimately, the decision did shine a light on the need to follow best practices, but it also included two additional outcomes, </w:t>
      </w:r>
      <w:proofErr w:type="gramStart"/>
      <w:r w:rsidRPr="003B5A99">
        <w:rPr>
          <w:rFonts w:ascii="Arial" w:hAnsi="Arial" w:cs="Arial"/>
        </w:rPr>
        <w:t>similar to</w:t>
      </w:r>
      <w:proofErr w:type="gramEnd"/>
      <w:r w:rsidRPr="003B5A99">
        <w:rPr>
          <w:rFonts w:ascii="Arial" w:hAnsi="Arial" w:cs="Arial"/>
        </w:rPr>
        <w:t xml:space="preserve"> an “Easter Egg” in a movie, that have created quite a stir.</w:t>
      </w:r>
    </w:p>
    <w:p w14:paraId="629C3630" w14:textId="77777777" w:rsidR="003B5A99" w:rsidRPr="003B5A99" w:rsidRDefault="003B5A99" w:rsidP="003B5A99">
      <w:pPr>
        <w:rPr>
          <w:rFonts w:ascii="Arial" w:hAnsi="Arial" w:cs="Arial"/>
        </w:rPr>
      </w:pPr>
    </w:p>
    <w:p w14:paraId="5B834925" w14:textId="77777777" w:rsidR="003B5A99" w:rsidRDefault="003B5A99" w:rsidP="003B5A99">
      <w:pPr>
        <w:rPr>
          <w:rFonts w:ascii="Arial" w:hAnsi="Arial" w:cs="Arial"/>
        </w:rPr>
      </w:pPr>
      <w:r w:rsidRPr="003B5A99">
        <w:rPr>
          <w:rFonts w:ascii="Arial" w:hAnsi="Arial" w:cs="Arial"/>
        </w:rPr>
        <w:t>Give me a shout to chat about how we’re updating agreements and funding strategies to head off the issues the Connelly family encountered.</w:t>
      </w:r>
    </w:p>
    <w:p w14:paraId="76888ED3" w14:textId="77777777" w:rsidR="003B5A99" w:rsidRPr="003B5A99" w:rsidRDefault="003B5A99" w:rsidP="003B5A99">
      <w:pPr>
        <w:rPr>
          <w:rFonts w:ascii="Arial" w:hAnsi="Arial" w:cs="Arial"/>
        </w:rPr>
      </w:pPr>
    </w:p>
    <w:p w14:paraId="569A0627" w14:textId="77777777" w:rsidR="003B5A99" w:rsidRPr="003B5A99" w:rsidRDefault="003B5A99" w:rsidP="003B5A99">
      <w:pPr>
        <w:rPr>
          <w:rFonts w:ascii="Arial" w:hAnsi="Arial" w:cs="Arial"/>
        </w:rPr>
      </w:pPr>
      <w:r w:rsidRPr="003B5A99">
        <w:rPr>
          <w:rFonts w:ascii="Arial" w:hAnsi="Arial" w:cs="Arial"/>
        </w:rPr>
        <w:t>#supremecourt #connellydecision #stockredemption #estateplanning #buysellagreements</w:t>
      </w:r>
    </w:p>
    <w:p w14:paraId="692F8D22" w14:textId="4CED091E" w:rsidR="00E239E2" w:rsidRPr="00D14E8F" w:rsidRDefault="00E239E2" w:rsidP="006B6EE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0A1B" w14:textId="77777777" w:rsidR="0027568D" w:rsidRDefault="0027568D" w:rsidP="00E239E2">
      <w:r>
        <w:separator/>
      </w:r>
    </w:p>
  </w:endnote>
  <w:endnote w:type="continuationSeparator" w:id="0">
    <w:p w14:paraId="19366D17" w14:textId="77777777" w:rsidR="0027568D" w:rsidRDefault="0027568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10C1" w14:textId="77777777" w:rsidR="0027568D" w:rsidRDefault="0027568D" w:rsidP="00E239E2">
      <w:r>
        <w:separator/>
      </w:r>
    </w:p>
  </w:footnote>
  <w:footnote w:type="continuationSeparator" w:id="0">
    <w:p w14:paraId="50DEABA9" w14:textId="77777777" w:rsidR="0027568D" w:rsidRDefault="0027568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18AD"/>
    <w:multiLevelType w:val="multilevel"/>
    <w:tmpl w:val="BE96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3385"/>
    <w:multiLevelType w:val="multilevel"/>
    <w:tmpl w:val="6EC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6033"/>
    <w:multiLevelType w:val="multilevel"/>
    <w:tmpl w:val="B16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9"/>
  </w:num>
  <w:num w:numId="2" w16cid:durableId="457724416">
    <w:abstractNumId w:val="0"/>
  </w:num>
  <w:num w:numId="3" w16cid:durableId="1282228325">
    <w:abstractNumId w:val="7"/>
  </w:num>
  <w:num w:numId="4" w16cid:durableId="201332239">
    <w:abstractNumId w:val="5"/>
  </w:num>
  <w:num w:numId="5" w16cid:durableId="1000305217">
    <w:abstractNumId w:val="10"/>
  </w:num>
  <w:num w:numId="6" w16cid:durableId="871846881">
    <w:abstractNumId w:val="3"/>
  </w:num>
  <w:num w:numId="7" w16cid:durableId="34358076">
    <w:abstractNumId w:val="4"/>
  </w:num>
  <w:num w:numId="8" w16cid:durableId="17779420">
    <w:abstractNumId w:val="8"/>
  </w:num>
  <w:num w:numId="9" w16cid:durableId="444346221">
    <w:abstractNumId w:val="2"/>
  </w:num>
  <w:num w:numId="10" w16cid:durableId="991327269">
    <w:abstractNumId w:val="6"/>
  </w:num>
  <w:num w:numId="11" w16cid:durableId="1948468832">
    <w:abstractNumId w:val="1"/>
  </w:num>
  <w:num w:numId="12" w16cid:durableId="1167280916">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484323382">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7568D"/>
    <w:rsid w:val="002F4D4F"/>
    <w:rsid w:val="00307215"/>
    <w:rsid w:val="003A66D0"/>
    <w:rsid w:val="003B5A99"/>
    <w:rsid w:val="00483BC6"/>
    <w:rsid w:val="004B0257"/>
    <w:rsid w:val="004C21E4"/>
    <w:rsid w:val="00645220"/>
    <w:rsid w:val="00654F38"/>
    <w:rsid w:val="006B6EE5"/>
    <w:rsid w:val="009729D7"/>
    <w:rsid w:val="00A10F6A"/>
    <w:rsid w:val="00A6149A"/>
    <w:rsid w:val="00A82741"/>
    <w:rsid w:val="00AD6808"/>
    <w:rsid w:val="00AF254E"/>
    <w:rsid w:val="00C94ACA"/>
    <w:rsid w:val="00D14E8F"/>
    <w:rsid w:val="00D27A9D"/>
    <w:rsid w:val="00E239E2"/>
    <w:rsid w:val="00EE20C7"/>
    <w:rsid w:val="00F5039E"/>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7070">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49252656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13697260">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554122223">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2024-10-01T17:36:00Z</dcterms:created>
  <dcterms:modified xsi:type="dcterms:W3CDTF">2024-10-01T17:36:00Z</dcterms:modified>
</cp:coreProperties>
</file>