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51E80" w14:textId="218D73A1" w:rsidR="00C94ACA" w:rsidRPr="00D14E8F" w:rsidRDefault="003F1BBD" w:rsidP="00307215">
      <w:pPr>
        <w:rPr>
          <w:rFonts w:ascii="Arial" w:hAnsi="Arial" w:cs="Arial"/>
          <w:b/>
          <w:bCs/>
          <w:sz w:val="28"/>
          <w:szCs w:val="28"/>
        </w:rPr>
      </w:pPr>
      <w:r>
        <w:rPr>
          <w:rFonts w:ascii="Arial" w:hAnsi="Arial" w:cs="Arial"/>
          <w:b/>
          <w:bCs/>
          <w:sz w:val="28"/>
          <w:szCs w:val="28"/>
        </w:rPr>
        <w:t>Blog</w:t>
      </w:r>
      <w:r w:rsidR="00E239E2" w:rsidRPr="00D14E8F">
        <w:rPr>
          <w:rFonts w:ascii="Arial" w:hAnsi="Arial" w:cs="Arial"/>
          <w:b/>
          <w:bCs/>
          <w:sz w:val="28"/>
          <w:szCs w:val="28"/>
        </w:rPr>
        <w:t xml:space="preserve"> Post Content</w:t>
      </w:r>
    </w:p>
    <w:p w14:paraId="2000A6FB" w14:textId="77777777" w:rsidR="00E239E2" w:rsidRPr="00D14E8F" w:rsidRDefault="00E239E2" w:rsidP="00307215">
      <w:pPr>
        <w:rPr>
          <w:rFonts w:ascii="Arial" w:hAnsi="Arial" w:cs="Arial"/>
        </w:rPr>
      </w:pPr>
    </w:p>
    <w:p w14:paraId="64B183CF" w14:textId="07AE8C42" w:rsidR="003F1BBD" w:rsidRPr="003F1BBD" w:rsidRDefault="003F1BBD" w:rsidP="003F1BBD">
      <w:pPr>
        <w:shd w:val="clear" w:color="auto" w:fill="FFFFFF"/>
        <w:spacing w:after="312"/>
        <w:rPr>
          <w:rFonts w:ascii="Arial" w:eastAsia="Times New Roman" w:hAnsi="Arial" w:cs="Arial"/>
          <w:color w:val="3D3D3D"/>
          <w:sz w:val="26"/>
          <w:szCs w:val="26"/>
        </w:rPr>
      </w:pPr>
      <w:r w:rsidRPr="003F1BBD">
        <w:rPr>
          <w:rFonts w:ascii="Arial" w:eastAsia="Times New Roman" w:hAnsi="Arial" w:cs="Arial"/>
          <w:color w:val="3D3D3D"/>
          <w:sz w:val="26"/>
          <w:szCs w:val="26"/>
        </w:rPr>
        <w:t>Succession Solutions for Single Owner Businesses</w:t>
      </w:r>
    </w:p>
    <w:p w14:paraId="091A7E6F" w14:textId="77777777" w:rsidR="003F1BBD" w:rsidRPr="003F1BBD" w:rsidRDefault="003F1BBD" w:rsidP="003F1BBD">
      <w:pPr>
        <w:shd w:val="clear" w:color="auto" w:fill="FFFFFF"/>
        <w:spacing w:after="312"/>
        <w:rPr>
          <w:rFonts w:ascii="Arial" w:eastAsia="Times New Roman" w:hAnsi="Arial" w:cs="Arial"/>
          <w:color w:val="3D3D3D"/>
          <w:sz w:val="26"/>
          <w:szCs w:val="26"/>
        </w:rPr>
      </w:pPr>
      <w:r w:rsidRPr="003F1BBD">
        <w:rPr>
          <w:rFonts w:ascii="Arial" w:eastAsia="Times New Roman" w:hAnsi="Arial" w:cs="Arial"/>
          <w:color w:val="3D3D3D"/>
          <w:sz w:val="26"/>
          <w:szCs w:val="26"/>
        </w:rPr>
        <w:t>The lack of a second business owner does not eliminate the need for effective buy/sell planning. A well thought out, formal agreement with proper funding can still accomplish the owner’s goals for the business upon their retirement, disability or death.</w:t>
      </w:r>
    </w:p>
    <w:p w14:paraId="587120D2" w14:textId="77777777" w:rsidR="003F1BBD" w:rsidRPr="003F1BBD" w:rsidRDefault="003F1BBD" w:rsidP="003F1BBD">
      <w:pPr>
        <w:shd w:val="clear" w:color="auto" w:fill="FFFFFF"/>
        <w:spacing w:after="312"/>
        <w:rPr>
          <w:rFonts w:ascii="Arial" w:eastAsia="Times New Roman" w:hAnsi="Arial" w:cs="Arial"/>
          <w:color w:val="3D3D3D"/>
          <w:sz w:val="26"/>
          <w:szCs w:val="26"/>
        </w:rPr>
      </w:pPr>
      <w:r w:rsidRPr="003F1BBD">
        <w:rPr>
          <w:rFonts w:ascii="Arial" w:eastAsia="Times New Roman" w:hAnsi="Arial" w:cs="Arial"/>
          <w:color w:val="3D3D3D"/>
          <w:sz w:val="26"/>
          <w:szCs w:val="26"/>
        </w:rPr>
        <w:t>A place where that can break down is the buy/sell agreement. We’ve all heard the stories of businesses without a plan in place, and one of the frequent causes is the lack of a clear successor. That, like so many other things in our business, can be overcome with the right planning. The most effective approaches address both the planned and the unexpected triggering events and can employ the leverage of life insurance to create or augment a funding strategy.</w:t>
      </w:r>
    </w:p>
    <w:p w14:paraId="0704F07C" w14:textId="77777777" w:rsidR="003F1BBD" w:rsidRPr="003F1BBD" w:rsidRDefault="003F1BBD" w:rsidP="003F1BBD">
      <w:pPr>
        <w:shd w:val="clear" w:color="auto" w:fill="FFFFFF"/>
        <w:spacing w:after="312"/>
        <w:rPr>
          <w:rFonts w:ascii="Arial" w:eastAsia="Times New Roman" w:hAnsi="Arial" w:cs="Arial"/>
          <w:color w:val="3D3D3D"/>
          <w:sz w:val="26"/>
          <w:szCs w:val="26"/>
        </w:rPr>
      </w:pPr>
      <w:r w:rsidRPr="003F1BBD">
        <w:rPr>
          <w:rFonts w:ascii="Arial" w:eastAsia="Times New Roman" w:hAnsi="Arial" w:cs="Arial"/>
          <w:color w:val="3D3D3D"/>
          <w:sz w:val="26"/>
          <w:szCs w:val="26"/>
        </w:rPr>
        <w:t>Consider the business owner whose business is their primary asset and is without a clear successor.</w:t>
      </w:r>
    </w:p>
    <w:p w14:paraId="638A7081" w14:textId="77777777" w:rsidR="003F1BBD" w:rsidRPr="003F1BBD" w:rsidRDefault="003F1BBD" w:rsidP="003F1BBD">
      <w:pPr>
        <w:shd w:val="clear" w:color="auto" w:fill="FFFFFF"/>
        <w:spacing w:after="312"/>
        <w:rPr>
          <w:rFonts w:ascii="Arial" w:eastAsia="Times New Roman" w:hAnsi="Arial" w:cs="Arial"/>
          <w:color w:val="3D3D3D"/>
          <w:sz w:val="26"/>
          <w:szCs w:val="26"/>
        </w:rPr>
      </w:pPr>
      <w:r w:rsidRPr="003F1BBD">
        <w:rPr>
          <w:rFonts w:ascii="Arial" w:eastAsia="Times New Roman" w:hAnsi="Arial" w:cs="Arial"/>
          <w:color w:val="3D3D3D"/>
          <w:sz w:val="26"/>
          <w:szCs w:val="26"/>
        </w:rPr>
        <w:t>Most would likely think about finding an outside buyer. If all goes to plan, that can absolutely work, but the unplanned exit remains a challenge. The “No Sell Buy/Sell” strategy can be part of a solution to this challenge and uses many of the traditional elements of a buy/sell agreement, with one significant exception: The business owner controls both sides of the transaction. More specifically, a trust they establish, and control becomes the buyer of the business, funded by life insurance proceeds.</w:t>
      </w:r>
    </w:p>
    <w:p w14:paraId="510AEC30" w14:textId="77777777" w:rsidR="003F1BBD" w:rsidRPr="003F1BBD" w:rsidRDefault="003F1BBD" w:rsidP="003F1BBD">
      <w:pPr>
        <w:shd w:val="clear" w:color="auto" w:fill="FFFFFF"/>
        <w:spacing w:after="312"/>
        <w:rPr>
          <w:rFonts w:ascii="Arial" w:eastAsia="Times New Roman" w:hAnsi="Arial" w:cs="Arial"/>
          <w:color w:val="3D3D3D"/>
          <w:sz w:val="26"/>
          <w:szCs w:val="26"/>
        </w:rPr>
      </w:pPr>
      <w:r w:rsidRPr="003F1BBD">
        <w:rPr>
          <w:rFonts w:ascii="Arial" w:eastAsia="Times New Roman" w:hAnsi="Arial" w:cs="Arial"/>
          <w:color w:val="3D3D3D"/>
          <w:sz w:val="26"/>
          <w:szCs w:val="26"/>
        </w:rPr>
        <w:t>This No Sell Buy/Sell involves some of the fundamentals seen in a traditional buy/sell agreement between two owners:</w:t>
      </w:r>
    </w:p>
    <w:p w14:paraId="2B13D9C9" w14:textId="77777777" w:rsidR="003F1BBD" w:rsidRPr="003F1BBD" w:rsidRDefault="003F1BBD" w:rsidP="003F1BBD">
      <w:pPr>
        <w:numPr>
          <w:ilvl w:val="0"/>
          <w:numId w:val="11"/>
        </w:numPr>
        <w:shd w:val="clear" w:color="auto" w:fill="FFFFFF"/>
        <w:spacing w:after="312"/>
        <w:rPr>
          <w:rFonts w:ascii="Arial" w:eastAsia="Times New Roman" w:hAnsi="Arial" w:cs="Arial"/>
          <w:color w:val="3D3D3D"/>
          <w:sz w:val="26"/>
          <w:szCs w:val="26"/>
        </w:rPr>
      </w:pPr>
      <w:r w:rsidRPr="003F1BBD">
        <w:rPr>
          <w:rFonts w:ascii="Arial" w:eastAsia="Times New Roman" w:hAnsi="Arial" w:cs="Arial"/>
          <w:color w:val="3D3D3D"/>
          <w:sz w:val="26"/>
          <w:szCs w:val="26"/>
        </w:rPr>
        <w:t>Establishing a fair value for the business</w:t>
      </w:r>
    </w:p>
    <w:p w14:paraId="3396C086" w14:textId="77777777" w:rsidR="003F1BBD" w:rsidRPr="003F1BBD" w:rsidRDefault="003F1BBD" w:rsidP="003F1BBD">
      <w:pPr>
        <w:numPr>
          <w:ilvl w:val="0"/>
          <w:numId w:val="11"/>
        </w:numPr>
        <w:shd w:val="clear" w:color="auto" w:fill="FFFFFF"/>
        <w:spacing w:after="312"/>
        <w:rPr>
          <w:rFonts w:ascii="Arial" w:eastAsia="Times New Roman" w:hAnsi="Arial" w:cs="Arial"/>
          <w:color w:val="3D3D3D"/>
          <w:sz w:val="26"/>
          <w:szCs w:val="26"/>
        </w:rPr>
      </w:pPr>
      <w:r w:rsidRPr="003F1BBD">
        <w:rPr>
          <w:rFonts w:ascii="Arial" w:eastAsia="Times New Roman" w:hAnsi="Arial" w:cs="Arial"/>
          <w:color w:val="3D3D3D"/>
          <w:sz w:val="26"/>
          <w:szCs w:val="26"/>
        </w:rPr>
        <w:t>Funding the plan with a life insurance policy</w:t>
      </w:r>
    </w:p>
    <w:p w14:paraId="3964999D" w14:textId="77777777" w:rsidR="003F1BBD" w:rsidRPr="003F1BBD" w:rsidRDefault="003F1BBD" w:rsidP="003F1BBD">
      <w:pPr>
        <w:shd w:val="clear" w:color="auto" w:fill="FFFFFF"/>
        <w:spacing w:after="312"/>
        <w:rPr>
          <w:rFonts w:ascii="Arial" w:eastAsia="Times New Roman" w:hAnsi="Arial" w:cs="Arial"/>
          <w:color w:val="3D3D3D"/>
          <w:sz w:val="26"/>
          <w:szCs w:val="26"/>
        </w:rPr>
      </w:pPr>
      <w:r w:rsidRPr="003F1BBD">
        <w:rPr>
          <w:rFonts w:ascii="Arial" w:eastAsia="Times New Roman" w:hAnsi="Arial" w:cs="Arial"/>
          <w:color w:val="3D3D3D"/>
          <w:sz w:val="26"/>
          <w:szCs w:val="26"/>
        </w:rPr>
        <w:t xml:space="preserve">It also serves as a way to buy the surviving family </w:t>
      </w:r>
      <w:proofErr w:type="gramStart"/>
      <w:r w:rsidRPr="003F1BBD">
        <w:rPr>
          <w:rFonts w:ascii="Arial" w:eastAsia="Times New Roman" w:hAnsi="Arial" w:cs="Arial"/>
          <w:color w:val="3D3D3D"/>
          <w:sz w:val="26"/>
          <w:szCs w:val="26"/>
        </w:rPr>
        <w:t>members</w:t>
      </w:r>
      <w:proofErr w:type="gramEnd"/>
      <w:r w:rsidRPr="003F1BBD">
        <w:rPr>
          <w:rFonts w:ascii="Arial" w:eastAsia="Times New Roman" w:hAnsi="Arial" w:cs="Arial"/>
          <w:color w:val="3D3D3D"/>
          <w:sz w:val="26"/>
          <w:szCs w:val="26"/>
        </w:rPr>
        <w:t xml:space="preserve"> time. The family can still control the business through their control of the trust. If, the business is ultimately sold to an outside party, it will be at a time and at terms of their choosing. The infusion of cash from the initial sale of the business to the trust provides the liquidity they need to be patient if that is what is best for the family. Further, if the business is ultimately sold to an outsider for less than the family hoped, those life insurance proceeds serve to make them whole relative to their prior valuation of the business. Depending on the client’s other planning </w:t>
      </w:r>
      <w:r w:rsidRPr="003F1BBD">
        <w:rPr>
          <w:rFonts w:ascii="Arial" w:eastAsia="Times New Roman" w:hAnsi="Arial" w:cs="Arial"/>
          <w:color w:val="3D3D3D"/>
          <w:sz w:val="26"/>
          <w:szCs w:val="26"/>
        </w:rPr>
        <w:lastRenderedPageBreak/>
        <w:t>objectives, this strategy can also integrate with their retirement and estate planning. Please see Figure 1, The No Sell Buy/Sell Strategy for an overview of the approach.</w:t>
      </w:r>
    </w:p>
    <w:p w14:paraId="6365FA11" w14:textId="77777777" w:rsidR="003F1BBD" w:rsidRPr="003F1BBD" w:rsidRDefault="003F1BBD" w:rsidP="003F1BBD">
      <w:pPr>
        <w:shd w:val="clear" w:color="auto" w:fill="FFFFFF"/>
        <w:spacing w:after="312"/>
        <w:rPr>
          <w:rFonts w:ascii="Arial" w:eastAsia="Times New Roman" w:hAnsi="Arial" w:cs="Arial"/>
          <w:color w:val="3D3D3D"/>
          <w:sz w:val="26"/>
          <w:szCs w:val="26"/>
        </w:rPr>
      </w:pPr>
      <w:r w:rsidRPr="003F1BBD">
        <w:rPr>
          <w:rFonts w:ascii="Arial" w:eastAsia="Times New Roman" w:hAnsi="Arial" w:cs="Arial"/>
          <w:color w:val="3D3D3D"/>
          <w:sz w:val="26"/>
          <w:szCs w:val="26"/>
        </w:rPr>
        <w:t>Insert Figure 1 Here</w:t>
      </w:r>
    </w:p>
    <w:p w14:paraId="5A375CCE" w14:textId="77777777" w:rsidR="003F1BBD" w:rsidRPr="003F1BBD" w:rsidRDefault="003F1BBD" w:rsidP="003F1BBD">
      <w:pPr>
        <w:shd w:val="clear" w:color="auto" w:fill="FFFFFF"/>
        <w:spacing w:after="312"/>
        <w:rPr>
          <w:rFonts w:ascii="Arial" w:eastAsia="Times New Roman" w:hAnsi="Arial" w:cs="Arial"/>
          <w:color w:val="3D3D3D"/>
          <w:sz w:val="26"/>
          <w:szCs w:val="26"/>
        </w:rPr>
      </w:pPr>
      <w:r w:rsidRPr="003F1BBD">
        <w:rPr>
          <w:rFonts w:ascii="Arial" w:eastAsia="Times New Roman" w:hAnsi="Arial" w:cs="Arial"/>
          <w:color w:val="3D3D3D"/>
          <w:sz w:val="26"/>
          <w:szCs w:val="26"/>
        </w:rPr>
        <w:t>Of course, in some cases, there is a Key Employee who would love to take over the business, but they may not see a way to make it happen. This is where effective planning can again overcome a rather common obstacle.</w:t>
      </w:r>
    </w:p>
    <w:p w14:paraId="18F023A1" w14:textId="77777777" w:rsidR="003F1BBD" w:rsidRPr="003F1BBD" w:rsidRDefault="003F1BBD" w:rsidP="003F1BBD">
      <w:pPr>
        <w:shd w:val="clear" w:color="auto" w:fill="FFFFFF"/>
        <w:spacing w:after="312"/>
        <w:rPr>
          <w:rFonts w:ascii="Arial" w:eastAsia="Times New Roman" w:hAnsi="Arial" w:cs="Arial"/>
          <w:color w:val="3D3D3D"/>
          <w:sz w:val="26"/>
          <w:szCs w:val="26"/>
        </w:rPr>
      </w:pPr>
      <w:r w:rsidRPr="003F1BBD">
        <w:rPr>
          <w:rFonts w:ascii="Arial" w:eastAsia="Times New Roman" w:hAnsi="Arial" w:cs="Arial"/>
          <w:color w:val="3D3D3D"/>
          <w:sz w:val="26"/>
          <w:szCs w:val="26"/>
        </w:rPr>
        <w:t>In this situation, there is an opportunity to take a more traditional approach, complicated only by the fact there is not a second owner of the business also seeking to implement a buy/sell agreement. Instead, the designated Key Employee plays the part of the second owner. The key difference is that the Key Employee does not have an ownership position in the company, making this a “one way” buy/sell agreement. Aside from that difference, the mechanics are much the same as they would be in a traditional buy/sell agreement between two owners.</w:t>
      </w:r>
    </w:p>
    <w:p w14:paraId="4F939454" w14:textId="77777777" w:rsidR="003F1BBD" w:rsidRPr="003F1BBD" w:rsidRDefault="003F1BBD" w:rsidP="003F1BBD">
      <w:pPr>
        <w:shd w:val="clear" w:color="auto" w:fill="FFFFFF"/>
        <w:spacing w:after="312"/>
        <w:rPr>
          <w:rFonts w:ascii="Arial" w:eastAsia="Times New Roman" w:hAnsi="Arial" w:cs="Arial"/>
          <w:color w:val="3D3D3D"/>
          <w:sz w:val="26"/>
          <w:szCs w:val="26"/>
        </w:rPr>
      </w:pPr>
      <w:r w:rsidRPr="003F1BBD">
        <w:rPr>
          <w:rFonts w:ascii="Arial" w:eastAsia="Times New Roman" w:hAnsi="Arial" w:cs="Arial"/>
          <w:color w:val="3D3D3D"/>
          <w:sz w:val="26"/>
          <w:szCs w:val="26"/>
        </w:rPr>
        <w:t xml:space="preserve">The Key Employee purchases a life insurance policy on the owner of the business. They Key Employee is the policy owner, is responsible for the premium payments and is also the policy beneficiary. At the death of the owner, the life insurance proceeds are used to purchase the business from the owner’s estate per the terms of the buy/sell agreement. If appropriate, the policy can also play a role in a living buyout and may even be funded by the business via deducible bonus payments to the Key Employee. Please see Figure 2, The </w:t>
      </w:r>
      <w:proofErr w:type="gramStart"/>
      <w:r w:rsidRPr="003F1BBD">
        <w:rPr>
          <w:rFonts w:ascii="Arial" w:eastAsia="Times New Roman" w:hAnsi="Arial" w:cs="Arial"/>
          <w:color w:val="3D3D3D"/>
          <w:sz w:val="26"/>
          <w:szCs w:val="26"/>
        </w:rPr>
        <w:t>One Way</w:t>
      </w:r>
      <w:proofErr w:type="gramEnd"/>
      <w:r w:rsidRPr="003F1BBD">
        <w:rPr>
          <w:rFonts w:ascii="Arial" w:eastAsia="Times New Roman" w:hAnsi="Arial" w:cs="Arial"/>
          <w:color w:val="3D3D3D"/>
          <w:sz w:val="26"/>
          <w:szCs w:val="26"/>
        </w:rPr>
        <w:t xml:space="preserve"> Buy/Sell Strategy, for an overview of the mechanics.</w:t>
      </w:r>
    </w:p>
    <w:p w14:paraId="6BAE473C" w14:textId="77777777" w:rsidR="003F1BBD" w:rsidRPr="003F1BBD" w:rsidRDefault="003F1BBD" w:rsidP="003F1BBD">
      <w:pPr>
        <w:shd w:val="clear" w:color="auto" w:fill="FFFFFF"/>
        <w:spacing w:after="312"/>
        <w:rPr>
          <w:rFonts w:ascii="Arial" w:eastAsia="Times New Roman" w:hAnsi="Arial" w:cs="Arial"/>
          <w:color w:val="3D3D3D"/>
          <w:sz w:val="26"/>
          <w:szCs w:val="26"/>
        </w:rPr>
      </w:pPr>
      <w:r w:rsidRPr="003F1BBD">
        <w:rPr>
          <w:rFonts w:ascii="Arial" w:eastAsia="Times New Roman" w:hAnsi="Arial" w:cs="Arial"/>
          <w:color w:val="3D3D3D"/>
          <w:sz w:val="26"/>
          <w:szCs w:val="26"/>
        </w:rPr>
        <w:t>Insert Figure 2 Here</w:t>
      </w:r>
    </w:p>
    <w:p w14:paraId="17EFB825" w14:textId="77777777" w:rsidR="003F1BBD" w:rsidRPr="003F1BBD" w:rsidRDefault="003F1BBD" w:rsidP="003F1BBD">
      <w:pPr>
        <w:shd w:val="clear" w:color="auto" w:fill="FFFFFF"/>
        <w:spacing w:after="312"/>
        <w:rPr>
          <w:rFonts w:ascii="Arial" w:eastAsia="Times New Roman" w:hAnsi="Arial" w:cs="Arial"/>
          <w:color w:val="3D3D3D"/>
          <w:sz w:val="26"/>
          <w:szCs w:val="26"/>
        </w:rPr>
      </w:pPr>
      <w:r w:rsidRPr="003F1BBD">
        <w:rPr>
          <w:rFonts w:ascii="Arial" w:eastAsia="Times New Roman" w:hAnsi="Arial" w:cs="Arial"/>
          <w:color w:val="3D3D3D"/>
          <w:sz w:val="26"/>
          <w:szCs w:val="26"/>
        </w:rPr>
        <w:t xml:space="preserve">The approach above, admittedly, relies heavily on life insurance as the primary finding vehicle. The business owner may benefit from an approach that also more directly addresses a living buyout as we see in the Sole Owner Transition Plan. This strategy includes the sale of a small portion of the business at plan </w:t>
      </w:r>
      <w:proofErr w:type="gramStart"/>
      <w:r w:rsidRPr="003F1BBD">
        <w:rPr>
          <w:rFonts w:ascii="Arial" w:eastAsia="Times New Roman" w:hAnsi="Arial" w:cs="Arial"/>
          <w:color w:val="3D3D3D"/>
          <w:sz w:val="26"/>
          <w:szCs w:val="26"/>
        </w:rPr>
        <w:t>inception, and</w:t>
      </w:r>
      <w:proofErr w:type="gramEnd"/>
      <w:r w:rsidRPr="003F1BBD">
        <w:rPr>
          <w:rFonts w:ascii="Arial" w:eastAsia="Times New Roman" w:hAnsi="Arial" w:cs="Arial"/>
          <w:color w:val="3D3D3D"/>
          <w:sz w:val="26"/>
          <w:szCs w:val="26"/>
        </w:rPr>
        <w:t xml:space="preserve"> utilizes installments notes and life insurance to protect both the owner and acquiring Key Employee.</w:t>
      </w:r>
    </w:p>
    <w:p w14:paraId="627813C5" w14:textId="77777777" w:rsidR="003F1BBD" w:rsidRPr="003F1BBD" w:rsidRDefault="003F1BBD" w:rsidP="003F1BBD">
      <w:pPr>
        <w:shd w:val="clear" w:color="auto" w:fill="FFFFFF"/>
        <w:spacing w:after="312"/>
        <w:rPr>
          <w:rFonts w:ascii="Arial" w:eastAsia="Times New Roman" w:hAnsi="Arial" w:cs="Arial"/>
          <w:color w:val="3D3D3D"/>
          <w:sz w:val="26"/>
          <w:szCs w:val="26"/>
        </w:rPr>
      </w:pPr>
      <w:r w:rsidRPr="003F1BBD">
        <w:rPr>
          <w:rFonts w:ascii="Arial" w:eastAsia="Times New Roman" w:hAnsi="Arial" w:cs="Arial"/>
          <w:color w:val="3D3D3D"/>
          <w:sz w:val="26"/>
          <w:szCs w:val="26"/>
        </w:rPr>
        <w:t xml:space="preserve">Once the Key Employee completes the initial purchase of a small portion of the business, a traditional buy/sell agreement is put in place that serves all the same functions as it would in a multi-owner business. One of the most important elements is the use of life insurance to protect the original business owner in the event the Key Employee passes away or decides to leave the business. The balance of the sale occurs at the typical triggering events, and can be funded via </w:t>
      </w:r>
      <w:r w:rsidRPr="003F1BBD">
        <w:rPr>
          <w:rFonts w:ascii="Arial" w:eastAsia="Times New Roman" w:hAnsi="Arial" w:cs="Arial"/>
          <w:color w:val="3D3D3D"/>
          <w:sz w:val="26"/>
          <w:szCs w:val="26"/>
        </w:rPr>
        <w:lastRenderedPageBreak/>
        <w:t>life insurance, installment notes, or a combination of the two. See Figure 3, The Sole-Owner Transition Plan, for additional details.</w:t>
      </w:r>
    </w:p>
    <w:p w14:paraId="339B4C7A" w14:textId="77777777" w:rsidR="003F1BBD" w:rsidRPr="003F1BBD" w:rsidRDefault="003F1BBD" w:rsidP="003F1BBD">
      <w:pPr>
        <w:shd w:val="clear" w:color="auto" w:fill="FFFFFF"/>
        <w:spacing w:after="312"/>
        <w:rPr>
          <w:rFonts w:ascii="Arial" w:eastAsia="Times New Roman" w:hAnsi="Arial" w:cs="Arial"/>
          <w:color w:val="3D3D3D"/>
          <w:sz w:val="26"/>
          <w:szCs w:val="26"/>
        </w:rPr>
      </w:pPr>
      <w:r w:rsidRPr="003F1BBD">
        <w:rPr>
          <w:rFonts w:ascii="Arial" w:eastAsia="Times New Roman" w:hAnsi="Arial" w:cs="Arial"/>
          <w:color w:val="3D3D3D"/>
          <w:sz w:val="26"/>
          <w:szCs w:val="26"/>
        </w:rPr>
        <w:t>Insert Figure 3 Here</w:t>
      </w:r>
    </w:p>
    <w:p w14:paraId="67D1AAFA" w14:textId="77777777" w:rsidR="003F1BBD" w:rsidRPr="003F1BBD" w:rsidRDefault="003F1BBD" w:rsidP="003F1BBD">
      <w:pPr>
        <w:shd w:val="clear" w:color="auto" w:fill="FFFFFF"/>
        <w:spacing w:after="312"/>
        <w:rPr>
          <w:rFonts w:ascii="Arial" w:eastAsia="Times New Roman" w:hAnsi="Arial" w:cs="Arial"/>
          <w:color w:val="3D3D3D"/>
          <w:sz w:val="26"/>
          <w:szCs w:val="26"/>
        </w:rPr>
      </w:pPr>
      <w:r w:rsidRPr="003F1BBD">
        <w:rPr>
          <w:rFonts w:ascii="Arial" w:eastAsia="Times New Roman" w:hAnsi="Arial" w:cs="Arial"/>
          <w:color w:val="3D3D3D"/>
          <w:sz w:val="26"/>
          <w:szCs w:val="26"/>
        </w:rPr>
        <w:t>Regardless of which of the three approaches outlined here is ultimately implemented, the underlying message remains the same: The lack of a second business owner does not eliminate the need for effective buy/sell planning. Further, the owner may have more flexibility in these cases simply based on their control of the decision-making process. Whether they ultimately involve a Key Employee as the buyer or a trust via the No Sell Buy/Sell, the outcome is the same: A well thought out, formal agreement with proper funding that accomplishes their goals for the business upon their retirement, disability or death.</w:t>
      </w:r>
    </w:p>
    <w:p w14:paraId="692F8D22" w14:textId="77777777" w:rsidR="00E239E2" w:rsidRPr="00D14E8F" w:rsidRDefault="00E239E2" w:rsidP="003F1BBD">
      <w:pPr>
        <w:shd w:val="clear" w:color="auto" w:fill="FFFFFF"/>
        <w:spacing w:after="312"/>
        <w:rPr>
          <w:rFonts w:ascii="Arial" w:hAnsi="Arial" w:cs="Arial"/>
        </w:rPr>
      </w:pPr>
    </w:p>
    <w:sectPr w:rsidR="00E239E2" w:rsidRPr="00D14E8F"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53E9E" w14:textId="77777777" w:rsidR="00081471" w:rsidRDefault="00081471" w:rsidP="00E239E2">
      <w:r>
        <w:separator/>
      </w:r>
    </w:p>
  </w:endnote>
  <w:endnote w:type="continuationSeparator" w:id="0">
    <w:p w14:paraId="7035FA78" w14:textId="77777777" w:rsidR="00081471" w:rsidRDefault="00081471"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8648B" w14:textId="77777777" w:rsidR="00081471" w:rsidRDefault="00081471" w:rsidP="00E239E2">
      <w:r>
        <w:separator/>
      </w:r>
    </w:p>
  </w:footnote>
  <w:footnote w:type="continuationSeparator" w:id="0">
    <w:p w14:paraId="4B6215D3" w14:textId="77777777" w:rsidR="00081471" w:rsidRDefault="00081471"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4739BD"/>
    <w:multiLevelType w:val="multilevel"/>
    <w:tmpl w:val="7D047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6B346F"/>
    <w:multiLevelType w:val="multilevel"/>
    <w:tmpl w:val="94F89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A66B01"/>
    <w:multiLevelType w:val="multilevel"/>
    <w:tmpl w:val="C9626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8E6FE7"/>
    <w:multiLevelType w:val="multilevel"/>
    <w:tmpl w:val="7D524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447372">
    <w:abstractNumId w:val="8"/>
  </w:num>
  <w:num w:numId="2" w16cid:durableId="457724416">
    <w:abstractNumId w:val="0"/>
  </w:num>
  <w:num w:numId="3" w16cid:durableId="1282228325">
    <w:abstractNumId w:val="5"/>
  </w:num>
  <w:num w:numId="4" w16cid:durableId="201332239">
    <w:abstractNumId w:val="3"/>
  </w:num>
  <w:num w:numId="5" w16cid:durableId="1000305217">
    <w:abstractNumId w:val="10"/>
  </w:num>
  <w:num w:numId="6" w16cid:durableId="871846881">
    <w:abstractNumId w:val="1"/>
  </w:num>
  <w:num w:numId="7" w16cid:durableId="34358076">
    <w:abstractNumId w:val="2"/>
  </w:num>
  <w:num w:numId="8" w16cid:durableId="517741824">
    <w:abstractNumId w:val="9"/>
  </w:num>
  <w:num w:numId="9" w16cid:durableId="1884978539">
    <w:abstractNumId w:val="7"/>
  </w:num>
  <w:num w:numId="10" w16cid:durableId="1575505331">
    <w:abstractNumId w:val="6"/>
  </w:num>
  <w:num w:numId="11" w16cid:durableId="8639821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081471"/>
    <w:rsid w:val="00106F43"/>
    <w:rsid w:val="001502D6"/>
    <w:rsid w:val="00151908"/>
    <w:rsid w:val="002F4D4F"/>
    <w:rsid w:val="00307215"/>
    <w:rsid w:val="003F1BBD"/>
    <w:rsid w:val="00483BC6"/>
    <w:rsid w:val="00645220"/>
    <w:rsid w:val="00654F38"/>
    <w:rsid w:val="009B2908"/>
    <w:rsid w:val="00A10F6A"/>
    <w:rsid w:val="00A6149A"/>
    <w:rsid w:val="00A82741"/>
    <w:rsid w:val="00AD6808"/>
    <w:rsid w:val="00AF254E"/>
    <w:rsid w:val="00C058E0"/>
    <w:rsid w:val="00C94ACA"/>
    <w:rsid w:val="00D14E8F"/>
    <w:rsid w:val="00D208AB"/>
    <w:rsid w:val="00E239E2"/>
    <w:rsid w:val="00EE20C7"/>
    <w:rsid w:val="00F8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25291">
      <w:bodyDiv w:val="1"/>
      <w:marLeft w:val="0"/>
      <w:marRight w:val="0"/>
      <w:marTop w:val="0"/>
      <w:marBottom w:val="0"/>
      <w:divBdr>
        <w:top w:val="none" w:sz="0" w:space="0" w:color="auto"/>
        <w:left w:val="none" w:sz="0" w:space="0" w:color="auto"/>
        <w:bottom w:val="none" w:sz="0" w:space="0" w:color="auto"/>
        <w:right w:val="none" w:sz="0" w:space="0" w:color="auto"/>
      </w:divBdr>
    </w:div>
    <w:div w:id="200020632">
      <w:bodyDiv w:val="1"/>
      <w:marLeft w:val="0"/>
      <w:marRight w:val="0"/>
      <w:marTop w:val="0"/>
      <w:marBottom w:val="0"/>
      <w:divBdr>
        <w:top w:val="none" w:sz="0" w:space="0" w:color="auto"/>
        <w:left w:val="none" w:sz="0" w:space="0" w:color="auto"/>
        <w:bottom w:val="none" w:sz="0" w:space="0" w:color="auto"/>
        <w:right w:val="none" w:sz="0" w:space="0" w:color="auto"/>
      </w:divBdr>
    </w:div>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321009546">
      <w:bodyDiv w:val="1"/>
      <w:marLeft w:val="0"/>
      <w:marRight w:val="0"/>
      <w:marTop w:val="0"/>
      <w:marBottom w:val="0"/>
      <w:divBdr>
        <w:top w:val="none" w:sz="0" w:space="0" w:color="auto"/>
        <w:left w:val="none" w:sz="0" w:space="0" w:color="auto"/>
        <w:bottom w:val="none" w:sz="0" w:space="0" w:color="auto"/>
        <w:right w:val="none" w:sz="0" w:space="0" w:color="auto"/>
      </w:divBdr>
    </w:div>
    <w:div w:id="357706122">
      <w:bodyDiv w:val="1"/>
      <w:marLeft w:val="0"/>
      <w:marRight w:val="0"/>
      <w:marTop w:val="0"/>
      <w:marBottom w:val="0"/>
      <w:divBdr>
        <w:top w:val="none" w:sz="0" w:space="0" w:color="auto"/>
        <w:left w:val="none" w:sz="0" w:space="0" w:color="auto"/>
        <w:bottom w:val="none" w:sz="0" w:space="0" w:color="auto"/>
        <w:right w:val="none" w:sz="0" w:space="0" w:color="auto"/>
      </w:divBdr>
    </w:div>
    <w:div w:id="492961945">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0806477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1440370819">
      <w:bodyDiv w:val="1"/>
      <w:marLeft w:val="0"/>
      <w:marRight w:val="0"/>
      <w:marTop w:val="0"/>
      <w:marBottom w:val="0"/>
      <w:divBdr>
        <w:top w:val="none" w:sz="0" w:space="0" w:color="auto"/>
        <w:left w:val="none" w:sz="0" w:space="0" w:color="auto"/>
        <w:bottom w:val="none" w:sz="0" w:space="0" w:color="auto"/>
        <w:right w:val="none" w:sz="0" w:space="0" w:color="auto"/>
      </w:divBdr>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 w:id="202246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820</Words>
  <Characters>4676</Characters>
  <Application>Microsoft Office Word</Application>
  <DocSecurity>0</DocSecurity>
  <Lines>38</Lines>
  <Paragraphs>10</Paragraphs>
  <ScaleCrop>false</ScaleCrop>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2</cp:revision>
  <dcterms:created xsi:type="dcterms:W3CDTF">2024-10-07T18:59:00Z</dcterms:created>
  <dcterms:modified xsi:type="dcterms:W3CDTF">2024-10-07T18:59:00Z</dcterms:modified>
</cp:coreProperties>
</file>