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51E80" w14:textId="5A53DD58" w:rsidR="00C94ACA" w:rsidRPr="00D14E8F" w:rsidRDefault="00E239E2" w:rsidP="00307215">
      <w:pPr>
        <w:rPr>
          <w:rFonts w:ascii="Arial" w:hAnsi="Arial" w:cs="Arial"/>
          <w:b/>
          <w:bCs/>
          <w:sz w:val="28"/>
          <w:szCs w:val="28"/>
        </w:rPr>
      </w:pPr>
      <w:r w:rsidRPr="00D14E8F">
        <w:rPr>
          <w:rFonts w:ascii="Arial" w:hAnsi="Arial" w:cs="Arial"/>
          <w:b/>
          <w:bCs/>
          <w:sz w:val="28"/>
          <w:szCs w:val="28"/>
        </w:rPr>
        <w:t>Blog Post Content</w:t>
      </w:r>
    </w:p>
    <w:p w14:paraId="2000A6FB" w14:textId="77777777" w:rsidR="00E239E2" w:rsidRPr="00D14E8F" w:rsidRDefault="00E239E2" w:rsidP="00307215">
      <w:pPr>
        <w:rPr>
          <w:rFonts w:ascii="Arial" w:hAnsi="Arial" w:cs="Arial"/>
        </w:rPr>
      </w:pPr>
    </w:p>
    <w:p w14:paraId="7AEA120B" w14:textId="77777777" w:rsidR="00491EC9" w:rsidRPr="00491EC9" w:rsidRDefault="00491EC9" w:rsidP="00491EC9">
      <w:pPr>
        <w:shd w:val="clear" w:color="auto" w:fill="FFFFFF"/>
        <w:spacing w:after="312"/>
        <w:rPr>
          <w:rFonts w:ascii="Arial" w:eastAsia="Times New Roman" w:hAnsi="Arial" w:cs="Arial"/>
          <w:color w:val="3D3D3D"/>
          <w:sz w:val="26"/>
          <w:szCs w:val="26"/>
        </w:rPr>
      </w:pPr>
      <w:r w:rsidRPr="00491EC9">
        <w:rPr>
          <w:rFonts w:ascii="Arial" w:eastAsia="Times New Roman" w:hAnsi="Arial" w:cs="Arial"/>
          <w:color w:val="3D3D3D"/>
          <w:sz w:val="26"/>
          <w:szCs w:val="26"/>
        </w:rPr>
        <w:t>Solving the Challenge of a Stretch IRA</w:t>
      </w:r>
    </w:p>
    <w:p w14:paraId="00C332E6" w14:textId="77777777" w:rsidR="00491EC9" w:rsidRPr="00491EC9" w:rsidRDefault="00491EC9" w:rsidP="00491EC9">
      <w:pPr>
        <w:shd w:val="clear" w:color="auto" w:fill="FFFFFF"/>
        <w:spacing w:after="312"/>
        <w:rPr>
          <w:rFonts w:ascii="Arial" w:eastAsia="Times New Roman" w:hAnsi="Arial" w:cs="Arial"/>
          <w:color w:val="3D3D3D"/>
          <w:sz w:val="26"/>
          <w:szCs w:val="26"/>
        </w:rPr>
      </w:pPr>
      <w:r w:rsidRPr="00491EC9">
        <w:rPr>
          <w:rFonts w:ascii="Arial" w:eastAsia="Times New Roman" w:hAnsi="Arial" w:cs="Arial"/>
          <w:color w:val="3D3D3D"/>
          <w:sz w:val="26"/>
          <w:szCs w:val="26"/>
        </w:rPr>
        <w:t>While the recently passed SECURE Act 2.0 is generating quite a bit of conversation in retirement planning circles, it has not had near the impact in the life insurance segment that the original SECURE Act did when it was passed back in late 2019. The primary impact of SECURE 1.0 in the life insurance space was the significant change to Stretch IRA rules, making inherited IRAs even more of a tax challenge for beneficiaries. Read on to learn more about a strategy to work with both G1 and G2 for a comprehensive solution!</w:t>
      </w:r>
    </w:p>
    <w:p w14:paraId="5B84619E" w14:textId="77777777" w:rsidR="00491EC9" w:rsidRPr="00491EC9" w:rsidRDefault="00491EC9" w:rsidP="00491EC9">
      <w:pPr>
        <w:shd w:val="clear" w:color="auto" w:fill="FFFFFF"/>
        <w:spacing w:after="312"/>
        <w:rPr>
          <w:rFonts w:ascii="Arial" w:eastAsia="Times New Roman" w:hAnsi="Arial" w:cs="Arial"/>
          <w:color w:val="3D3D3D"/>
          <w:sz w:val="26"/>
          <w:szCs w:val="26"/>
        </w:rPr>
      </w:pPr>
      <w:r w:rsidRPr="00491EC9">
        <w:rPr>
          <w:rFonts w:ascii="Arial" w:eastAsia="Times New Roman" w:hAnsi="Arial" w:cs="Arial"/>
          <w:color w:val="3D3D3D"/>
          <w:sz w:val="26"/>
          <w:szCs w:val="26"/>
        </w:rPr>
        <w:t>In an ironic twist, planning opportunities stemming from SECURE 1.0 focus not as much on the taxes paid by beneficiaries, but on the “G1” IRA owner who has had the good fortune to accumulate a large qualified plan balance and the ability to fund a traditional IRA Maximization strategy involving current distributions to fund a life insurance policy with far more favorable tax treatment. This presents some planning obstacles for all involved, including:</w:t>
      </w:r>
    </w:p>
    <w:p w14:paraId="00A1CFDB" w14:textId="77777777" w:rsidR="00491EC9" w:rsidRPr="00491EC9" w:rsidRDefault="00491EC9" w:rsidP="00491EC9">
      <w:pPr>
        <w:numPr>
          <w:ilvl w:val="0"/>
          <w:numId w:val="8"/>
        </w:numPr>
        <w:shd w:val="clear" w:color="auto" w:fill="FFFFFF"/>
        <w:spacing w:after="312"/>
        <w:rPr>
          <w:rFonts w:ascii="Arial" w:eastAsia="Times New Roman" w:hAnsi="Arial" w:cs="Arial"/>
          <w:color w:val="3D3D3D"/>
          <w:sz w:val="26"/>
          <w:szCs w:val="26"/>
        </w:rPr>
      </w:pPr>
      <w:r w:rsidRPr="00491EC9">
        <w:rPr>
          <w:rFonts w:ascii="Arial" w:eastAsia="Times New Roman" w:hAnsi="Arial" w:cs="Arial"/>
          <w:color w:val="3D3D3D"/>
          <w:sz w:val="26"/>
          <w:szCs w:val="26"/>
        </w:rPr>
        <w:t>G1 IRA owners who may not be concerned about the tax implications for their beneficiaries, believing that they are “getting enough” simply by inheriting any assets not consumed during G1’s lifetime net of any taxes.</w:t>
      </w:r>
    </w:p>
    <w:p w14:paraId="5AAFC140" w14:textId="77777777" w:rsidR="00491EC9" w:rsidRPr="00491EC9" w:rsidRDefault="00491EC9" w:rsidP="00491EC9">
      <w:pPr>
        <w:numPr>
          <w:ilvl w:val="0"/>
          <w:numId w:val="8"/>
        </w:numPr>
        <w:shd w:val="clear" w:color="auto" w:fill="FFFFFF"/>
        <w:spacing w:after="312"/>
        <w:rPr>
          <w:rFonts w:ascii="Arial" w:eastAsia="Times New Roman" w:hAnsi="Arial" w:cs="Arial"/>
          <w:color w:val="3D3D3D"/>
          <w:sz w:val="26"/>
          <w:szCs w:val="26"/>
        </w:rPr>
      </w:pPr>
      <w:r w:rsidRPr="00491EC9">
        <w:rPr>
          <w:rFonts w:ascii="Arial" w:eastAsia="Times New Roman" w:hAnsi="Arial" w:cs="Arial"/>
          <w:color w:val="3D3D3D"/>
          <w:sz w:val="26"/>
          <w:szCs w:val="26"/>
        </w:rPr>
        <w:t>Even if G1 does care about the tax issue, they may not be insurable, eliminating the viability of the strategy entirely.</w:t>
      </w:r>
    </w:p>
    <w:p w14:paraId="2395930A" w14:textId="77777777" w:rsidR="00491EC9" w:rsidRPr="00491EC9" w:rsidRDefault="00491EC9" w:rsidP="00491EC9">
      <w:pPr>
        <w:numPr>
          <w:ilvl w:val="0"/>
          <w:numId w:val="8"/>
        </w:numPr>
        <w:shd w:val="clear" w:color="auto" w:fill="FFFFFF"/>
        <w:spacing w:after="312"/>
        <w:rPr>
          <w:rFonts w:ascii="Arial" w:eastAsia="Times New Roman" w:hAnsi="Arial" w:cs="Arial"/>
          <w:color w:val="3D3D3D"/>
          <w:sz w:val="26"/>
          <w:szCs w:val="26"/>
        </w:rPr>
      </w:pPr>
      <w:r w:rsidRPr="00491EC9">
        <w:rPr>
          <w:rFonts w:ascii="Arial" w:eastAsia="Times New Roman" w:hAnsi="Arial" w:cs="Arial"/>
          <w:color w:val="3D3D3D"/>
          <w:sz w:val="26"/>
          <w:szCs w:val="26"/>
        </w:rPr>
        <w:t>For those clients that execute traditional IRA Maximization, there will almost certainly be a remaining qualified plan balance that will be heavily taxed upon passing to G2.</w:t>
      </w:r>
    </w:p>
    <w:p w14:paraId="3C369CF5" w14:textId="77777777" w:rsidR="00491EC9" w:rsidRPr="00491EC9" w:rsidRDefault="00491EC9" w:rsidP="00491EC9">
      <w:pPr>
        <w:shd w:val="clear" w:color="auto" w:fill="FFFFFF"/>
        <w:spacing w:after="312"/>
        <w:rPr>
          <w:rFonts w:ascii="Arial" w:eastAsia="Times New Roman" w:hAnsi="Arial" w:cs="Arial"/>
          <w:color w:val="3D3D3D"/>
          <w:sz w:val="26"/>
          <w:szCs w:val="26"/>
        </w:rPr>
      </w:pPr>
      <w:r w:rsidRPr="00491EC9">
        <w:rPr>
          <w:rFonts w:ascii="Arial" w:eastAsia="Times New Roman" w:hAnsi="Arial" w:cs="Arial"/>
          <w:color w:val="3D3D3D"/>
          <w:sz w:val="26"/>
          <w:szCs w:val="26"/>
        </w:rPr>
        <w:t>This last issue, the remaining balance inherited by G2, has two components:</w:t>
      </w:r>
    </w:p>
    <w:p w14:paraId="163030EF" w14:textId="77777777" w:rsidR="00491EC9" w:rsidRPr="00491EC9" w:rsidRDefault="00491EC9" w:rsidP="00491EC9">
      <w:pPr>
        <w:numPr>
          <w:ilvl w:val="0"/>
          <w:numId w:val="9"/>
        </w:numPr>
        <w:shd w:val="clear" w:color="auto" w:fill="FFFFFF"/>
        <w:spacing w:after="312"/>
        <w:rPr>
          <w:rFonts w:ascii="Arial" w:eastAsia="Times New Roman" w:hAnsi="Arial" w:cs="Arial"/>
          <w:color w:val="3D3D3D"/>
          <w:sz w:val="26"/>
          <w:szCs w:val="26"/>
        </w:rPr>
      </w:pPr>
      <w:r w:rsidRPr="00491EC9">
        <w:rPr>
          <w:rFonts w:ascii="Arial" w:eastAsia="Times New Roman" w:hAnsi="Arial" w:cs="Arial"/>
          <w:color w:val="3D3D3D"/>
          <w:sz w:val="26"/>
          <w:szCs w:val="26"/>
        </w:rPr>
        <w:t>Income taxes due on the inherited amount over the ten-year period mandated by SECURE 1.0.</w:t>
      </w:r>
    </w:p>
    <w:p w14:paraId="51D1F0B4" w14:textId="77777777" w:rsidR="00491EC9" w:rsidRPr="00491EC9" w:rsidRDefault="00491EC9" w:rsidP="00491EC9">
      <w:pPr>
        <w:numPr>
          <w:ilvl w:val="0"/>
          <w:numId w:val="9"/>
        </w:numPr>
        <w:shd w:val="clear" w:color="auto" w:fill="FFFFFF"/>
        <w:spacing w:after="312"/>
        <w:rPr>
          <w:rFonts w:ascii="Arial" w:eastAsia="Times New Roman" w:hAnsi="Arial" w:cs="Arial"/>
          <w:color w:val="3D3D3D"/>
          <w:sz w:val="26"/>
          <w:szCs w:val="26"/>
        </w:rPr>
      </w:pPr>
      <w:r w:rsidRPr="00491EC9">
        <w:rPr>
          <w:rFonts w:ascii="Arial" w:eastAsia="Times New Roman" w:hAnsi="Arial" w:cs="Arial"/>
          <w:color w:val="3D3D3D"/>
          <w:sz w:val="26"/>
          <w:szCs w:val="26"/>
        </w:rPr>
        <w:t>Taxation of any gains on the net proceeds that are then invested.</w:t>
      </w:r>
    </w:p>
    <w:p w14:paraId="7E0C05D9" w14:textId="77777777" w:rsidR="00491EC9" w:rsidRPr="00491EC9" w:rsidRDefault="00491EC9" w:rsidP="00491EC9">
      <w:pPr>
        <w:shd w:val="clear" w:color="auto" w:fill="FFFFFF"/>
        <w:spacing w:after="312"/>
        <w:rPr>
          <w:rFonts w:ascii="Arial" w:eastAsia="Times New Roman" w:hAnsi="Arial" w:cs="Arial"/>
          <w:color w:val="3D3D3D"/>
          <w:sz w:val="26"/>
          <w:szCs w:val="26"/>
        </w:rPr>
      </w:pPr>
      <w:r w:rsidRPr="00491EC9">
        <w:rPr>
          <w:rFonts w:ascii="Arial" w:eastAsia="Times New Roman" w:hAnsi="Arial" w:cs="Arial"/>
          <w:color w:val="3D3D3D"/>
          <w:sz w:val="26"/>
          <w:szCs w:val="26"/>
        </w:rPr>
        <w:t xml:space="preserve">Fortunately, many of the challenges listed above are easily solved with a life insurance strategy focused on G2. By establishing a permanent life insurance policy as part of G2’s retirement planning approach, there is the possibility of avoiding the taxes that would be due on gains from other asset types. This policy </w:t>
      </w:r>
      <w:r w:rsidRPr="00491EC9">
        <w:rPr>
          <w:rFonts w:ascii="Arial" w:eastAsia="Times New Roman" w:hAnsi="Arial" w:cs="Arial"/>
          <w:color w:val="3D3D3D"/>
          <w:sz w:val="26"/>
          <w:szCs w:val="26"/>
        </w:rPr>
        <w:lastRenderedPageBreak/>
        <w:t>is funded by a portion of the inheritance, and are a number of design elements to consider to render it maximally effective:</w:t>
      </w:r>
    </w:p>
    <w:p w14:paraId="2E495B95" w14:textId="77777777" w:rsidR="00491EC9" w:rsidRPr="00491EC9" w:rsidRDefault="00491EC9" w:rsidP="00491EC9">
      <w:pPr>
        <w:shd w:val="clear" w:color="auto" w:fill="FFFFFF"/>
        <w:spacing w:after="312"/>
        <w:rPr>
          <w:rFonts w:ascii="Arial" w:eastAsia="Times New Roman" w:hAnsi="Arial" w:cs="Arial"/>
          <w:color w:val="3D3D3D"/>
          <w:sz w:val="26"/>
          <w:szCs w:val="26"/>
        </w:rPr>
      </w:pPr>
      <w:r w:rsidRPr="00491EC9">
        <w:rPr>
          <w:rFonts w:ascii="Arial" w:eastAsia="Times New Roman" w:hAnsi="Arial" w:cs="Arial"/>
          <w:color w:val="3D3D3D"/>
          <w:sz w:val="26"/>
          <w:szCs w:val="26"/>
        </w:rPr>
        <w:t>Consider using a face amount in excess of the minimum required to accommodate the portion of the inheritance allocated to the strategy.</w:t>
      </w:r>
      <w:r w:rsidRPr="00491EC9">
        <w:rPr>
          <w:rFonts w:ascii="Arial" w:eastAsia="Times New Roman" w:hAnsi="Arial" w:cs="Arial"/>
          <w:color w:val="3D3D3D"/>
          <w:sz w:val="26"/>
          <w:szCs w:val="26"/>
        </w:rPr>
        <w:br/>
        <w:t>The “balanced” approach to the design will also increase any amounts available via accelerated benefit provisions included in the base policy or added via rider, strengthening G2’s care planning strategy.</w:t>
      </w:r>
      <w:r w:rsidRPr="00491EC9">
        <w:rPr>
          <w:rFonts w:ascii="Arial" w:eastAsia="Times New Roman" w:hAnsi="Arial" w:cs="Arial"/>
          <w:color w:val="3D3D3D"/>
          <w:sz w:val="26"/>
          <w:szCs w:val="26"/>
        </w:rPr>
        <w:br/>
        <w:t>Availability of participating loans early in the policy could allow for higher funding levels, subsequently using a policy loan to pay taxes when due in April of the following year, versus holding a portion of the proceeds back in anticipation of future taxation.</w:t>
      </w:r>
    </w:p>
    <w:p w14:paraId="4F4B1F72" w14:textId="77777777" w:rsidR="00491EC9" w:rsidRPr="00491EC9" w:rsidRDefault="00491EC9" w:rsidP="00491EC9">
      <w:pPr>
        <w:shd w:val="clear" w:color="auto" w:fill="FFFFFF"/>
        <w:spacing w:after="312"/>
        <w:rPr>
          <w:rFonts w:ascii="Arial" w:eastAsia="Times New Roman" w:hAnsi="Arial" w:cs="Arial"/>
          <w:color w:val="3D3D3D"/>
          <w:sz w:val="26"/>
          <w:szCs w:val="26"/>
        </w:rPr>
      </w:pPr>
      <w:r w:rsidRPr="00491EC9">
        <w:rPr>
          <w:rFonts w:ascii="Arial" w:eastAsia="Times New Roman" w:hAnsi="Arial" w:cs="Arial"/>
          <w:color w:val="3D3D3D"/>
          <w:sz w:val="26"/>
          <w:szCs w:val="26"/>
        </w:rPr>
        <w:t>Another consideration is one of timing. While the fact that there is a future inheritance may be known fairly early on, the timing of the event is obviously unknown. This could present a problem if there are insurability issues for G2 that present themselves at the time of the inheritance. The solution to this challenge is to put the insurance in force on G2 early in the process, in anticipation of the future inheritance. Doing so eliminates insurability as a future unknown and would also become part of G2’s overall retirement planning. Having a tax-favored source of retirement income above and beyond the ability to accommodate the inheritance strengthen the resilience of their overall retirement plan. If this approach is pursued, the use of a policy face amount higher than the minimum required for G2’s premium budget at inception creates the capacity to accommodate the future inheritance.</w:t>
      </w:r>
    </w:p>
    <w:p w14:paraId="10023AB9" w14:textId="77777777" w:rsidR="00491EC9" w:rsidRPr="00491EC9" w:rsidRDefault="00491EC9" w:rsidP="00491EC9">
      <w:pPr>
        <w:shd w:val="clear" w:color="auto" w:fill="FFFFFF"/>
        <w:spacing w:after="312"/>
        <w:rPr>
          <w:rFonts w:ascii="Arial" w:eastAsia="Times New Roman" w:hAnsi="Arial" w:cs="Arial"/>
          <w:color w:val="3D3D3D"/>
          <w:sz w:val="26"/>
          <w:szCs w:val="26"/>
        </w:rPr>
      </w:pPr>
      <w:r w:rsidRPr="00491EC9">
        <w:rPr>
          <w:rFonts w:ascii="Arial" w:eastAsia="Times New Roman" w:hAnsi="Arial" w:cs="Arial"/>
          <w:color w:val="3D3D3D"/>
          <w:sz w:val="26"/>
          <w:szCs w:val="26"/>
        </w:rPr>
        <w:t>While this strategy has been described as a way to solve the issue of not being able to execute a traditional IRA Maximization strategy, the use of these two strategies in concert would be maximally effective in terms of reducing taxation of the IRA and minimizing G2’s tax burden on a forward-looking basis. This “second sale” to G2 in an IRA Maximization strategy can also be used to prospect up or down the family tree, depending on where the original client relationship lies.</w:t>
      </w:r>
    </w:p>
    <w:p w14:paraId="692F8D22" w14:textId="77777777" w:rsidR="00E239E2" w:rsidRPr="00D14E8F" w:rsidRDefault="00E239E2" w:rsidP="00491EC9">
      <w:pPr>
        <w:shd w:val="clear" w:color="auto" w:fill="FFFFFF"/>
        <w:spacing w:after="312"/>
        <w:rPr>
          <w:rFonts w:ascii="Arial" w:hAnsi="Arial" w:cs="Arial"/>
        </w:rPr>
      </w:pPr>
    </w:p>
    <w:sectPr w:rsidR="00E239E2" w:rsidRPr="00D14E8F" w:rsidSect="00AF254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A259CC" w14:textId="77777777" w:rsidR="00E83592" w:rsidRDefault="00E83592" w:rsidP="00E239E2">
      <w:r>
        <w:separator/>
      </w:r>
    </w:p>
  </w:endnote>
  <w:endnote w:type="continuationSeparator" w:id="0">
    <w:p w14:paraId="6DBF7B43" w14:textId="77777777" w:rsidR="00E83592" w:rsidRDefault="00E83592" w:rsidP="00E23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F546B" w14:textId="534D96CA" w:rsidR="00E239E2" w:rsidRDefault="00E239E2" w:rsidP="00E239E2">
    <w:pPr>
      <w:pStyle w:val="Footer"/>
      <w:jc w:val="right"/>
    </w:pPr>
    <w:r>
      <w:rPr>
        <w:noProof/>
      </w:rPr>
      <w:drawing>
        <wp:inline distT="0" distB="0" distL="0" distR="0" wp14:anchorId="629EA7EF" wp14:editId="7B85A64C">
          <wp:extent cx="1257300" cy="426757"/>
          <wp:effectExtent l="0" t="0" r="0" b="5080"/>
          <wp:docPr id="20747920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792051" name="Picture 2074792051"/>
                  <pic:cNvPicPr/>
                </pic:nvPicPr>
                <pic:blipFill>
                  <a:blip r:embed="rId1">
                    <a:extLst>
                      <a:ext uri="{28A0092B-C50C-407E-A947-70E740481C1C}">
                        <a14:useLocalDpi xmlns:a14="http://schemas.microsoft.com/office/drawing/2010/main" val="0"/>
                      </a:ext>
                    </a:extLst>
                  </a:blip>
                  <a:stretch>
                    <a:fillRect/>
                  </a:stretch>
                </pic:blipFill>
                <pic:spPr>
                  <a:xfrm>
                    <a:off x="0" y="0"/>
                    <a:ext cx="1318309" cy="4474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A6753F" w14:textId="77777777" w:rsidR="00E83592" w:rsidRDefault="00E83592" w:rsidP="00E239E2">
      <w:r>
        <w:separator/>
      </w:r>
    </w:p>
  </w:footnote>
  <w:footnote w:type="continuationSeparator" w:id="0">
    <w:p w14:paraId="0DD3D0BF" w14:textId="77777777" w:rsidR="00E83592" w:rsidRDefault="00E83592" w:rsidP="00E23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00C3D"/>
    <w:multiLevelType w:val="multilevel"/>
    <w:tmpl w:val="42DEC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BA2A6A"/>
    <w:multiLevelType w:val="multilevel"/>
    <w:tmpl w:val="BEFA2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E072D5"/>
    <w:multiLevelType w:val="multilevel"/>
    <w:tmpl w:val="69C88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9856A5"/>
    <w:multiLevelType w:val="multilevel"/>
    <w:tmpl w:val="96CA2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201DB5"/>
    <w:multiLevelType w:val="multilevel"/>
    <w:tmpl w:val="A17A6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2C11B0"/>
    <w:multiLevelType w:val="multilevel"/>
    <w:tmpl w:val="88C8E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163BDB"/>
    <w:multiLevelType w:val="multilevel"/>
    <w:tmpl w:val="1654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F25592"/>
    <w:multiLevelType w:val="hybridMultilevel"/>
    <w:tmpl w:val="063A4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C50F0C"/>
    <w:multiLevelType w:val="multilevel"/>
    <w:tmpl w:val="02E0B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2447372">
    <w:abstractNumId w:val="6"/>
  </w:num>
  <w:num w:numId="2" w16cid:durableId="457724416">
    <w:abstractNumId w:val="0"/>
  </w:num>
  <w:num w:numId="3" w16cid:durableId="1282228325">
    <w:abstractNumId w:val="5"/>
  </w:num>
  <w:num w:numId="4" w16cid:durableId="201332239">
    <w:abstractNumId w:val="3"/>
  </w:num>
  <w:num w:numId="5" w16cid:durableId="1000305217">
    <w:abstractNumId w:val="7"/>
  </w:num>
  <w:num w:numId="6" w16cid:durableId="871846881">
    <w:abstractNumId w:val="1"/>
  </w:num>
  <w:num w:numId="7" w16cid:durableId="34358076">
    <w:abstractNumId w:val="2"/>
  </w:num>
  <w:num w:numId="8" w16cid:durableId="27607210">
    <w:abstractNumId w:val="4"/>
  </w:num>
  <w:num w:numId="9" w16cid:durableId="5660359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9E2"/>
    <w:rsid w:val="00106F43"/>
    <w:rsid w:val="001502D6"/>
    <w:rsid w:val="00151908"/>
    <w:rsid w:val="002C5B91"/>
    <w:rsid w:val="002F4D4F"/>
    <w:rsid w:val="00307215"/>
    <w:rsid w:val="00483BC6"/>
    <w:rsid w:val="00491EC9"/>
    <w:rsid w:val="00645220"/>
    <w:rsid w:val="00654F38"/>
    <w:rsid w:val="00A10F6A"/>
    <w:rsid w:val="00A6149A"/>
    <w:rsid w:val="00A82741"/>
    <w:rsid w:val="00AD6808"/>
    <w:rsid w:val="00AF254E"/>
    <w:rsid w:val="00C94ACA"/>
    <w:rsid w:val="00D14E8F"/>
    <w:rsid w:val="00E239E2"/>
    <w:rsid w:val="00E83592"/>
    <w:rsid w:val="00EE20C7"/>
    <w:rsid w:val="00F83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93E6AC"/>
  <w15:chartTrackingRefBased/>
  <w15:docId w15:val="{FC3C6B5F-5A29-F140-9A4D-02878D2A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39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39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39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39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39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39E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39E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39E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39E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9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39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39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39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39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39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39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39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39E2"/>
    <w:rPr>
      <w:rFonts w:eastAsiaTheme="majorEastAsia" w:cstheme="majorBidi"/>
      <w:color w:val="272727" w:themeColor="text1" w:themeTint="D8"/>
    </w:rPr>
  </w:style>
  <w:style w:type="paragraph" w:styleId="Title">
    <w:name w:val="Title"/>
    <w:basedOn w:val="Normal"/>
    <w:next w:val="Normal"/>
    <w:link w:val="TitleChar"/>
    <w:uiPriority w:val="10"/>
    <w:qFormat/>
    <w:rsid w:val="00E239E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39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39E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39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39E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239E2"/>
    <w:rPr>
      <w:i/>
      <w:iCs/>
      <w:color w:val="404040" w:themeColor="text1" w:themeTint="BF"/>
    </w:rPr>
  </w:style>
  <w:style w:type="paragraph" w:styleId="ListParagraph">
    <w:name w:val="List Paragraph"/>
    <w:basedOn w:val="Normal"/>
    <w:uiPriority w:val="34"/>
    <w:qFormat/>
    <w:rsid w:val="00E239E2"/>
    <w:pPr>
      <w:ind w:left="720"/>
      <w:contextualSpacing/>
    </w:pPr>
  </w:style>
  <w:style w:type="character" w:styleId="IntenseEmphasis">
    <w:name w:val="Intense Emphasis"/>
    <w:basedOn w:val="DefaultParagraphFont"/>
    <w:uiPriority w:val="21"/>
    <w:qFormat/>
    <w:rsid w:val="00E239E2"/>
    <w:rPr>
      <w:i/>
      <w:iCs/>
      <w:color w:val="0F4761" w:themeColor="accent1" w:themeShade="BF"/>
    </w:rPr>
  </w:style>
  <w:style w:type="paragraph" w:styleId="IntenseQuote">
    <w:name w:val="Intense Quote"/>
    <w:basedOn w:val="Normal"/>
    <w:next w:val="Normal"/>
    <w:link w:val="IntenseQuoteChar"/>
    <w:uiPriority w:val="30"/>
    <w:qFormat/>
    <w:rsid w:val="00E239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39E2"/>
    <w:rPr>
      <w:i/>
      <w:iCs/>
      <w:color w:val="0F4761" w:themeColor="accent1" w:themeShade="BF"/>
    </w:rPr>
  </w:style>
  <w:style w:type="character" w:styleId="IntenseReference">
    <w:name w:val="Intense Reference"/>
    <w:basedOn w:val="DefaultParagraphFont"/>
    <w:uiPriority w:val="32"/>
    <w:qFormat/>
    <w:rsid w:val="00E239E2"/>
    <w:rPr>
      <w:b/>
      <w:bCs/>
      <w:smallCaps/>
      <w:color w:val="0F4761" w:themeColor="accent1" w:themeShade="BF"/>
      <w:spacing w:val="5"/>
    </w:rPr>
  </w:style>
  <w:style w:type="paragraph" w:styleId="Header">
    <w:name w:val="header"/>
    <w:basedOn w:val="Normal"/>
    <w:link w:val="HeaderChar"/>
    <w:uiPriority w:val="99"/>
    <w:unhideWhenUsed/>
    <w:rsid w:val="00E239E2"/>
    <w:pPr>
      <w:tabs>
        <w:tab w:val="center" w:pos="4680"/>
        <w:tab w:val="right" w:pos="9360"/>
      </w:tabs>
    </w:pPr>
  </w:style>
  <w:style w:type="character" w:customStyle="1" w:styleId="HeaderChar">
    <w:name w:val="Header Char"/>
    <w:basedOn w:val="DefaultParagraphFont"/>
    <w:link w:val="Header"/>
    <w:uiPriority w:val="99"/>
    <w:rsid w:val="00E239E2"/>
  </w:style>
  <w:style w:type="paragraph" w:styleId="Footer">
    <w:name w:val="footer"/>
    <w:basedOn w:val="Normal"/>
    <w:link w:val="FooterChar"/>
    <w:uiPriority w:val="99"/>
    <w:unhideWhenUsed/>
    <w:rsid w:val="00E239E2"/>
    <w:pPr>
      <w:tabs>
        <w:tab w:val="center" w:pos="4680"/>
        <w:tab w:val="right" w:pos="9360"/>
      </w:tabs>
    </w:pPr>
  </w:style>
  <w:style w:type="character" w:customStyle="1" w:styleId="FooterChar">
    <w:name w:val="Footer Char"/>
    <w:basedOn w:val="DefaultParagraphFont"/>
    <w:link w:val="Footer"/>
    <w:uiPriority w:val="99"/>
    <w:rsid w:val="00E239E2"/>
  </w:style>
  <w:style w:type="paragraph" w:styleId="NormalWeb">
    <w:name w:val="Normal (Web)"/>
    <w:basedOn w:val="Normal"/>
    <w:uiPriority w:val="99"/>
    <w:semiHidden/>
    <w:unhideWhenUsed/>
    <w:rsid w:val="00E239E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303073">
      <w:bodyDiv w:val="1"/>
      <w:marLeft w:val="0"/>
      <w:marRight w:val="0"/>
      <w:marTop w:val="0"/>
      <w:marBottom w:val="0"/>
      <w:divBdr>
        <w:top w:val="none" w:sz="0" w:space="0" w:color="auto"/>
        <w:left w:val="none" w:sz="0" w:space="0" w:color="auto"/>
        <w:bottom w:val="none" w:sz="0" w:space="0" w:color="auto"/>
        <w:right w:val="none" w:sz="0" w:space="0" w:color="auto"/>
      </w:divBdr>
    </w:div>
    <w:div w:id="289629950">
      <w:bodyDiv w:val="1"/>
      <w:marLeft w:val="0"/>
      <w:marRight w:val="0"/>
      <w:marTop w:val="0"/>
      <w:marBottom w:val="0"/>
      <w:divBdr>
        <w:top w:val="none" w:sz="0" w:space="0" w:color="auto"/>
        <w:left w:val="none" w:sz="0" w:space="0" w:color="auto"/>
        <w:bottom w:val="none" w:sz="0" w:space="0" w:color="auto"/>
        <w:right w:val="none" w:sz="0" w:space="0" w:color="auto"/>
      </w:divBdr>
    </w:div>
    <w:div w:id="680158667">
      <w:bodyDiv w:val="1"/>
      <w:marLeft w:val="0"/>
      <w:marRight w:val="0"/>
      <w:marTop w:val="0"/>
      <w:marBottom w:val="0"/>
      <w:divBdr>
        <w:top w:val="none" w:sz="0" w:space="0" w:color="auto"/>
        <w:left w:val="none" w:sz="0" w:space="0" w:color="auto"/>
        <w:bottom w:val="none" w:sz="0" w:space="0" w:color="auto"/>
        <w:right w:val="none" w:sz="0" w:space="0" w:color="auto"/>
      </w:divBdr>
    </w:div>
    <w:div w:id="720178527">
      <w:bodyDiv w:val="1"/>
      <w:marLeft w:val="0"/>
      <w:marRight w:val="0"/>
      <w:marTop w:val="0"/>
      <w:marBottom w:val="0"/>
      <w:divBdr>
        <w:top w:val="none" w:sz="0" w:space="0" w:color="auto"/>
        <w:left w:val="none" w:sz="0" w:space="0" w:color="auto"/>
        <w:bottom w:val="none" w:sz="0" w:space="0" w:color="auto"/>
        <w:right w:val="none" w:sz="0" w:space="0" w:color="auto"/>
      </w:divBdr>
    </w:div>
    <w:div w:id="1139417010">
      <w:bodyDiv w:val="1"/>
      <w:marLeft w:val="0"/>
      <w:marRight w:val="0"/>
      <w:marTop w:val="0"/>
      <w:marBottom w:val="0"/>
      <w:divBdr>
        <w:top w:val="none" w:sz="0" w:space="0" w:color="auto"/>
        <w:left w:val="none" w:sz="0" w:space="0" w:color="auto"/>
        <w:bottom w:val="none" w:sz="0" w:space="0" w:color="auto"/>
        <w:right w:val="none" w:sz="0" w:space="0" w:color="auto"/>
      </w:divBdr>
    </w:div>
    <w:div w:id="1340037616">
      <w:bodyDiv w:val="1"/>
      <w:marLeft w:val="0"/>
      <w:marRight w:val="0"/>
      <w:marTop w:val="0"/>
      <w:marBottom w:val="0"/>
      <w:divBdr>
        <w:top w:val="none" w:sz="0" w:space="0" w:color="auto"/>
        <w:left w:val="none" w:sz="0" w:space="0" w:color="auto"/>
        <w:bottom w:val="none" w:sz="0" w:space="0" w:color="auto"/>
        <w:right w:val="none" w:sz="0" w:space="0" w:color="auto"/>
      </w:divBdr>
    </w:div>
    <w:div w:id="1754282026">
      <w:bodyDiv w:val="1"/>
      <w:marLeft w:val="0"/>
      <w:marRight w:val="0"/>
      <w:marTop w:val="0"/>
      <w:marBottom w:val="0"/>
      <w:divBdr>
        <w:top w:val="none" w:sz="0" w:space="0" w:color="auto"/>
        <w:left w:val="none" w:sz="0" w:space="0" w:color="auto"/>
        <w:bottom w:val="none" w:sz="0" w:space="0" w:color="auto"/>
        <w:right w:val="none" w:sz="0" w:space="0" w:color="auto"/>
      </w:divBdr>
    </w:div>
    <w:div w:id="188587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629</Words>
  <Characters>3586</Characters>
  <Application>Microsoft Office Word</Application>
  <DocSecurity>0</DocSecurity>
  <Lines>29</Lines>
  <Paragraphs>8</Paragraphs>
  <ScaleCrop>false</ScaleCrop>
  <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shahmiri</dc:creator>
  <cp:keywords/>
  <dc:description/>
  <cp:lastModifiedBy>natalie shahmiri</cp:lastModifiedBy>
  <cp:revision>3</cp:revision>
  <dcterms:created xsi:type="dcterms:W3CDTF">2024-10-07T19:03:00Z</dcterms:created>
  <dcterms:modified xsi:type="dcterms:W3CDTF">2024-10-07T19:04:00Z</dcterms:modified>
</cp:coreProperties>
</file>