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CB7" w:rsidRPr="004E2CB7" w:rsidRDefault="004E2CB7" w:rsidP="004E2CB7">
      <w:pPr>
        <w:shd w:val="clear" w:color="auto" w:fill="FFFFFF"/>
        <w:spacing w:after="240" w:line="288" w:lineRule="atLeast"/>
        <w:outlineLvl w:val="0"/>
        <w:rPr>
          <w:rFonts w:ascii="proxima" w:eastAsia="Times New Roman" w:hAnsi="proxima" w:cs="Times New Roman"/>
          <w:b/>
          <w:bCs/>
          <w:color w:val="000000"/>
          <w:spacing w:val="-7"/>
          <w:kern w:val="36"/>
          <w:sz w:val="74"/>
          <w:szCs w:val="74"/>
          <w14:ligatures w14:val="none"/>
        </w:rPr>
      </w:pPr>
      <w:r w:rsidRPr="004E2CB7">
        <w:rPr>
          <w:rFonts w:ascii="proxima" w:eastAsia="Times New Roman" w:hAnsi="proxima" w:cs="Times New Roman"/>
          <w:b/>
          <w:bCs/>
          <w:color w:val="000000"/>
          <w:spacing w:val="-7"/>
          <w:kern w:val="36"/>
          <w:sz w:val="74"/>
          <w:szCs w:val="74"/>
          <w14:ligatures w14:val="none"/>
        </w:rPr>
        <w:t>How to Use Your LTC Premiums to Reduce Your Tax Bill</w:t>
      </w:r>
    </w:p>
    <w:p w:rsidR="00C94ACA" w:rsidRDefault="00C94ACA"/>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Maximizing LTC Premiums for Tax Efficiency</w:t>
      </w:r>
      <w:r w:rsidRPr="004E2CB7">
        <w:rPr>
          <w:rFonts w:ascii="proxima" w:eastAsia="Times New Roman" w:hAnsi="proxima" w:cs="Times New Roman"/>
          <w:color w:val="3D3D3D"/>
          <w:kern w:val="0"/>
          <w:sz w:val="26"/>
          <w:szCs w:val="26"/>
          <w14:ligatures w14:val="none"/>
        </w:rPr>
        <w:t>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As a financial advisor, you are always looking for ways to help clients maximize their tax efficiency while securing their financial future. Long-Term Care (LTC) Insurance presents a unique opportunity to accomplish both. The key decision for clients is whether to take modest tax savings now or position themselves for more substantial benefits down the road.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The Dual Challenge: Taxes and Insurance Costs</w:t>
      </w:r>
      <w:r w:rsidRPr="004E2CB7">
        <w:rPr>
          <w:rFonts w:ascii="proxima" w:eastAsia="Times New Roman" w:hAnsi="proxima" w:cs="Times New Roman"/>
          <w:color w:val="3D3D3D"/>
          <w:kern w:val="0"/>
          <w:sz w:val="26"/>
          <w:szCs w:val="26"/>
          <w14:ligatures w14:val="none"/>
        </w:rPr>
        <w:t>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Most clients seek to minimize both taxes and insurance premiums, but avoiding these expenses entirely can lead to significant financial risk. LTC Insurance is becoming an essential component of comprehensive retirement planning, ensuring clients maintain control over their care options as they age. The good news is that LTC premiums can be leveraged to reduce taxable income under certain conditions, enhancing both tax efficiency and financial security.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Tax Deductibility of LTC Premiums</w:t>
      </w:r>
      <w:r w:rsidRPr="004E2CB7">
        <w:rPr>
          <w:rFonts w:ascii="proxima" w:eastAsia="Times New Roman" w:hAnsi="proxima" w:cs="Times New Roman"/>
          <w:color w:val="3D3D3D"/>
          <w:kern w:val="0"/>
          <w:sz w:val="26"/>
          <w:szCs w:val="26"/>
          <w14:ligatures w14:val="none"/>
        </w:rPr>
        <w:t>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The extent to which LTC premiums can be deducted depends on four key factors: </w:t>
      </w:r>
    </w:p>
    <w:p w:rsidR="004E2CB7" w:rsidRPr="004E2CB7" w:rsidRDefault="004E2CB7" w:rsidP="004E2CB7">
      <w:pPr>
        <w:numPr>
          <w:ilvl w:val="0"/>
          <w:numId w:val="1"/>
        </w:numPr>
        <w:shd w:val="clear" w:color="auto" w:fill="FFFFFF"/>
        <w:spacing w:after="0" w:line="240" w:lineRule="auto"/>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Qualifying Policy</w:t>
      </w:r>
      <w:r w:rsidRPr="004E2CB7">
        <w:rPr>
          <w:rFonts w:ascii="proxima" w:eastAsia="Times New Roman" w:hAnsi="proxima" w:cs="Times New Roman"/>
          <w:color w:val="3D3D3D"/>
          <w:kern w:val="0"/>
          <w:sz w:val="26"/>
          <w:szCs w:val="26"/>
          <w14:ligatures w14:val="none"/>
        </w:rPr>
        <w:t>: The LTC policy must comply with Section 7702(b) of the Internal Revenue Code. </w:t>
      </w:r>
    </w:p>
    <w:p w:rsidR="004E2CB7" w:rsidRPr="004E2CB7" w:rsidRDefault="004E2CB7" w:rsidP="004E2CB7">
      <w:pPr>
        <w:numPr>
          <w:ilvl w:val="0"/>
          <w:numId w:val="2"/>
        </w:numPr>
        <w:shd w:val="clear" w:color="auto" w:fill="FFFFFF"/>
        <w:spacing w:after="0" w:line="240" w:lineRule="auto"/>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Policy Charges</w:t>
      </w:r>
      <w:r w:rsidRPr="004E2CB7">
        <w:rPr>
          <w:rFonts w:ascii="proxima" w:eastAsia="Times New Roman" w:hAnsi="proxima" w:cs="Times New Roman"/>
          <w:color w:val="3D3D3D"/>
          <w:kern w:val="0"/>
          <w:sz w:val="26"/>
          <w:szCs w:val="26"/>
          <w14:ligatures w14:val="none"/>
        </w:rPr>
        <w:t>: Eligible policies must separate charges related to benefit acceleration, continuation, and inflation protection, with no cash value attached to these elements. This requirement generally excludes LTC riders on traditional life insurance policies. </w:t>
      </w:r>
    </w:p>
    <w:p w:rsidR="004E2CB7" w:rsidRPr="004E2CB7" w:rsidRDefault="004E2CB7" w:rsidP="004E2CB7">
      <w:pPr>
        <w:numPr>
          <w:ilvl w:val="0"/>
          <w:numId w:val="3"/>
        </w:numPr>
        <w:shd w:val="clear" w:color="auto" w:fill="FFFFFF"/>
        <w:spacing w:after="0" w:line="240" w:lineRule="auto"/>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Age-Based Deduction Limits</w:t>
      </w:r>
      <w:r w:rsidRPr="004E2CB7">
        <w:rPr>
          <w:rFonts w:ascii="proxima" w:eastAsia="Times New Roman" w:hAnsi="proxima" w:cs="Times New Roman"/>
          <w:color w:val="3D3D3D"/>
          <w:kern w:val="0"/>
          <w:sz w:val="26"/>
          <w:szCs w:val="26"/>
          <w14:ligatures w14:val="none"/>
        </w:rPr>
        <w:t>: The IRS sets annual deductible limits based on the policyholder’s age (see Table 1). </w:t>
      </w:r>
    </w:p>
    <w:p w:rsidR="004E2CB7" w:rsidRPr="004E2CB7" w:rsidRDefault="004E2CB7" w:rsidP="004E2CB7">
      <w:pPr>
        <w:numPr>
          <w:ilvl w:val="0"/>
          <w:numId w:val="4"/>
        </w:numPr>
        <w:shd w:val="clear" w:color="auto" w:fill="FFFFFF"/>
        <w:spacing w:after="0" w:line="240" w:lineRule="auto"/>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Itemization Requirement</w:t>
      </w:r>
      <w:r w:rsidRPr="004E2CB7">
        <w:rPr>
          <w:rFonts w:ascii="proxima" w:eastAsia="Times New Roman" w:hAnsi="proxima" w:cs="Times New Roman"/>
          <w:color w:val="3D3D3D"/>
          <w:kern w:val="0"/>
          <w:sz w:val="26"/>
          <w:szCs w:val="26"/>
          <w14:ligatures w14:val="none"/>
        </w:rPr>
        <w:t>: Clients must itemize deductions, and their total medical expenses must exceed 7.5% of Adjusted Gross Income (AGI) to qualify.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i/>
          <w:iCs/>
          <w:color w:val="3D3D3D"/>
          <w:kern w:val="0"/>
          <w:sz w:val="26"/>
          <w:szCs w:val="26"/>
          <w14:ligatures w14:val="none"/>
        </w:rPr>
        <w:t>Table 1: 2024 IRS Age-Based LTC Premium Deduction Limits</w:t>
      </w:r>
      <w:r w:rsidRPr="004E2CB7">
        <w:rPr>
          <w:rFonts w:ascii="proxima" w:eastAsia="Times New Roman" w:hAnsi="proxima" w:cs="Times New Roman"/>
          <w:color w:val="3D3D3D"/>
          <w:kern w:val="0"/>
          <w:sz w:val="26"/>
          <w:szCs w:val="26"/>
          <w14:ligatures w14:val="none"/>
        </w:rPr>
        <w:t>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[Insert Table 1 Here]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Example of Itemized Deduction</w:t>
      </w:r>
      <w:r w:rsidRPr="004E2CB7">
        <w:rPr>
          <w:rFonts w:ascii="proxima" w:eastAsia="Times New Roman" w:hAnsi="proxima" w:cs="Times New Roman"/>
          <w:color w:val="3D3D3D"/>
          <w:kern w:val="0"/>
          <w:sz w:val="26"/>
          <w:szCs w:val="26"/>
          <w14:ligatures w14:val="none"/>
        </w:rPr>
        <w:t> </w:t>
      </w:r>
    </w:p>
    <w:p w:rsidR="004E2CB7" w:rsidRPr="004E2CB7" w:rsidRDefault="004E2CB7" w:rsidP="004E2CB7">
      <w:pPr>
        <w:numPr>
          <w:ilvl w:val="0"/>
          <w:numId w:val="5"/>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Male, Age 55  </w:t>
      </w:r>
    </w:p>
    <w:p w:rsidR="004E2CB7" w:rsidRPr="004E2CB7" w:rsidRDefault="004E2CB7" w:rsidP="004E2CB7">
      <w:pPr>
        <w:numPr>
          <w:ilvl w:val="0"/>
          <w:numId w:val="6"/>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LTC Premium: $6,000  </w:t>
      </w:r>
    </w:p>
    <w:p w:rsidR="004E2CB7" w:rsidRPr="004E2CB7" w:rsidRDefault="004E2CB7" w:rsidP="004E2CB7">
      <w:pPr>
        <w:numPr>
          <w:ilvl w:val="0"/>
          <w:numId w:val="7"/>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lastRenderedPageBreak/>
        <w:t>Deductible Limit: $1,800  </w:t>
      </w:r>
    </w:p>
    <w:p w:rsidR="004E2CB7" w:rsidRPr="004E2CB7" w:rsidRDefault="004E2CB7" w:rsidP="004E2CB7">
      <w:pPr>
        <w:numPr>
          <w:ilvl w:val="0"/>
          <w:numId w:val="8"/>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i/>
          <w:iCs/>
          <w:color w:val="3D3D3D"/>
          <w:kern w:val="0"/>
          <w:sz w:val="26"/>
          <w:szCs w:val="26"/>
          <w14:ligatures w14:val="none"/>
        </w:rPr>
        <w:t>Deduction = $1,800</w:t>
      </w:r>
      <w:r w:rsidRPr="004E2CB7">
        <w:rPr>
          <w:rFonts w:ascii="proxima" w:eastAsia="Times New Roman" w:hAnsi="proxima" w:cs="Times New Roman"/>
          <w:color w:val="3D3D3D"/>
          <w:kern w:val="0"/>
          <w:sz w:val="26"/>
          <w:szCs w:val="26"/>
          <w14:ligatures w14:val="none"/>
        </w:rPr>
        <w:t>  </w:t>
      </w:r>
    </w:p>
    <w:p w:rsidR="004E2CB7" w:rsidRPr="004E2CB7" w:rsidRDefault="004E2CB7" w:rsidP="004E2CB7">
      <w:pPr>
        <w:numPr>
          <w:ilvl w:val="0"/>
          <w:numId w:val="9"/>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Female, Age 72 </w:t>
      </w:r>
    </w:p>
    <w:p w:rsidR="004E2CB7" w:rsidRPr="004E2CB7" w:rsidRDefault="004E2CB7" w:rsidP="004E2CB7">
      <w:pPr>
        <w:numPr>
          <w:ilvl w:val="0"/>
          <w:numId w:val="10"/>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LTC Premium: $6,000 </w:t>
      </w:r>
    </w:p>
    <w:p w:rsidR="004E2CB7" w:rsidRPr="004E2CB7" w:rsidRDefault="004E2CB7" w:rsidP="004E2CB7">
      <w:pPr>
        <w:numPr>
          <w:ilvl w:val="0"/>
          <w:numId w:val="11"/>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Deductible Limit: $6,020 </w:t>
      </w:r>
    </w:p>
    <w:p w:rsidR="004E2CB7" w:rsidRPr="004E2CB7" w:rsidRDefault="004E2CB7" w:rsidP="004E2CB7">
      <w:pPr>
        <w:numPr>
          <w:ilvl w:val="0"/>
          <w:numId w:val="12"/>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i/>
          <w:iCs/>
          <w:color w:val="3D3D3D"/>
          <w:kern w:val="0"/>
          <w:sz w:val="26"/>
          <w:szCs w:val="26"/>
          <w14:ligatures w14:val="none"/>
        </w:rPr>
        <w:t>Deduction = $6,000</w:t>
      </w:r>
      <w:r w:rsidRPr="004E2CB7">
        <w:rPr>
          <w:rFonts w:ascii="proxima" w:eastAsia="Times New Roman" w:hAnsi="proxima" w:cs="Times New Roman"/>
          <w:i/>
          <w:iCs/>
          <w:color w:val="3D3D3D"/>
          <w:kern w:val="0"/>
          <w:sz w:val="26"/>
          <w:szCs w:val="26"/>
          <w14:ligatures w14:val="none"/>
        </w:rPr>
        <w:t> (full premium covered)</w:t>
      </w:r>
      <w:r w:rsidRPr="004E2CB7">
        <w:rPr>
          <w:rFonts w:ascii="proxima" w:eastAsia="Times New Roman" w:hAnsi="proxima" w:cs="Times New Roman"/>
          <w:color w:val="3D3D3D"/>
          <w:kern w:val="0"/>
          <w:sz w:val="26"/>
          <w:szCs w:val="26"/>
          <w14:ligatures w14:val="none"/>
        </w:rPr>
        <w:t>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Many clients may not meet the itemization threshold, limiting their ability to deduct LTC premiums directly. Fortunately, an alternative strategy exists: utilizing Health Savings Accounts (HSAs).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Leveraging HSAs for LTC Premium Payments</w:t>
      </w:r>
      <w:r w:rsidRPr="004E2CB7">
        <w:rPr>
          <w:rFonts w:ascii="proxima" w:eastAsia="Times New Roman" w:hAnsi="proxima" w:cs="Times New Roman"/>
          <w:color w:val="3D3D3D"/>
          <w:kern w:val="0"/>
          <w:sz w:val="26"/>
          <w:szCs w:val="26"/>
          <w14:ligatures w14:val="none"/>
        </w:rPr>
        <w:t>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For clients with HSA-eligible health insurance, the need to itemize disappears. HSA funds can be used tax-free to pay the deductible portion of LTC premiums, based on the same age-based limits. Clients who are already maximizing their HSA contributions can shift premium payments to these pre-tax funds, preserving taxable income. Clients not yet maxing out their HSA contributions should consider increasing contributions to take full advantage of this opportunity.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Additional Considerations for HSA Utilization</w:t>
      </w:r>
      <w:r w:rsidRPr="004E2CB7">
        <w:rPr>
          <w:rFonts w:ascii="proxima" w:eastAsia="Times New Roman" w:hAnsi="proxima" w:cs="Times New Roman"/>
          <w:color w:val="3D3D3D"/>
          <w:kern w:val="0"/>
          <w:sz w:val="26"/>
          <w:szCs w:val="26"/>
          <w14:ligatures w14:val="none"/>
        </w:rPr>
        <w:t>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While using HSAs for LTC premiums can be advantageous, advisors should consider the following: </w:t>
      </w:r>
    </w:p>
    <w:p w:rsidR="004E2CB7" w:rsidRPr="004E2CB7" w:rsidRDefault="004E2CB7" w:rsidP="004E2CB7">
      <w:pPr>
        <w:numPr>
          <w:ilvl w:val="0"/>
          <w:numId w:val="13"/>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Future Medical Expenses</w:t>
      </w:r>
      <w:r w:rsidRPr="004E2CB7">
        <w:rPr>
          <w:rFonts w:ascii="proxima" w:eastAsia="Times New Roman" w:hAnsi="proxima" w:cs="Times New Roman"/>
          <w:color w:val="3D3D3D"/>
          <w:kern w:val="0"/>
          <w:sz w:val="26"/>
          <w:szCs w:val="26"/>
          <w14:ligatures w14:val="none"/>
        </w:rPr>
        <w:t>: Clients may benefit more from allowing their HSA balance to grow, as out-of-pocket medical expenses tend to rise over time. </w:t>
      </w:r>
    </w:p>
    <w:p w:rsidR="004E2CB7" w:rsidRPr="004E2CB7" w:rsidRDefault="004E2CB7" w:rsidP="004E2CB7">
      <w:pPr>
        <w:numPr>
          <w:ilvl w:val="0"/>
          <w:numId w:val="14"/>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Alternative Uses</w:t>
      </w:r>
      <w:r w:rsidRPr="004E2CB7">
        <w:rPr>
          <w:rFonts w:ascii="proxima" w:eastAsia="Times New Roman" w:hAnsi="proxima" w:cs="Times New Roman"/>
          <w:color w:val="3D3D3D"/>
          <w:kern w:val="0"/>
          <w:sz w:val="26"/>
          <w:szCs w:val="26"/>
          <w14:ligatures w14:val="none"/>
        </w:rPr>
        <w:t>: HSAs can cover medical treatments not fully covered by insurance, which could be a better long-term strategy depending on the client’s health profile.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Key Takeaways</w:t>
      </w:r>
      <w:r w:rsidRPr="004E2CB7">
        <w:rPr>
          <w:rFonts w:ascii="proxima" w:eastAsia="Times New Roman" w:hAnsi="proxima" w:cs="Times New Roman"/>
          <w:color w:val="3D3D3D"/>
          <w:kern w:val="0"/>
          <w:sz w:val="26"/>
          <w:szCs w:val="26"/>
          <w14:ligatures w14:val="none"/>
        </w:rPr>
        <w:t> </w:t>
      </w:r>
    </w:p>
    <w:p w:rsidR="004E2CB7" w:rsidRPr="004E2CB7" w:rsidRDefault="004E2CB7" w:rsidP="004E2CB7">
      <w:pPr>
        <w:numPr>
          <w:ilvl w:val="0"/>
          <w:numId w:val="15"/>
        </w:numPr>
        <w:shd w:val="clear" w:color="auto" w:fill="FFFFFF"/>
        <w:spacing w:after="0" w:line="240" w:lineRule="auto"/>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Itemizing for deductions</w:t>
      </w:r>
      <w:r w:rsidRPr="004E2CB7">
        <w:rPr>
          <w:rFonts w:ascii="proxima" w:eastAsia="Times New Roman" w:hAnsi="proxima" w:cs="Times New Roman"/>
          <w:color w:val="3D3D3D"/>
          <w:kern w:val="0"/>
          <w:sz w:val="26"/>
          <w:szCs w:val="26"/>
          <w14:ligatures w14:val="none"/>
        </w:rPr>
        <w:t>: Best suited for older clients or those with high medical expenses who already exceed the 7.5% AGI threshold. </w:t>
      </w:r>
    </w:p>
    <w:p w:rsidR="004E2CB7" w:rsidRPr="004E2CB7" w:rsidRDefault="004E2CB7" w:rsidP="004E2CB7">
      <w:pPr>
        <w:numPr>
          <w:ilvl w:val="0"/>
          <w:numId w:val="16"/>
        </w:numPr>
        <w:shd w:val="clear" w:color="auto" w:fill="FFFFFF"/>
        <w:spacing w:after="0" w:line="240" w:lineRule="auto"/>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Utilizing HSA funds</w:t>
      </w:r>
      <w:r w:rsidRPr="004E2CB7">
        <w:rPr>
          <w:rFonts w:ascii="proxima" w:eastAsia="Times New Roman" w:hAnsi="proxima" w:cs="Times New Roman"/>
          <w:color w:val="3D3D3D"/>
          <w:kern w:val="0"/>
          <w:sz w:val="26"/>
          <w:szCs w:val="26"/>
          <w14:ligatures w14:val="none"/>
        </w:rPr>
        <w:t>: A viable alternative for clients with access to an HSA, particularly if they are max-funding their contributions. </w:t>
      </w:r>
    </w:p>
    <w:p w:rsidR="004E2CB7" w:rsidRPr="004E2CB7" w:rsidRDefault="004E2CB7" w:rsidP="004E2CB7">
      <w:pPr>
        <w:numPr>
          <w:ilvl w:val="0"/>
          <w:numId w:val="17"/>
        </w:numPr>
        <w:shd w:val="clear" w:color="auto" w:fill="FFFFFF"/>
        <w:spacing w:after="0" w:line="240" w:lineRule="auto"/>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Annual strategy review</w:t>
      </w:r>
      <w:r w:rsidRPr="004E2CB7">
        <w:rPr>
          <w:rFonts w:ascii="proxima" w:eastAsia="Times New Roman" w:hAnsi="proxima" w:cs="Times New Roman"/>
          <w:color w:val="3D3D3D"/>
          <w:kern w:val="0"/>
          <w:sz w:val="26"/>
          <w:szCs w:val="26"/>
          <w14:ligatures w14:val="none"/>
        </w:rPr>
        <w:t>: Advisors should assess premium payment strategies yearly to adapt to changes in tax laws, client income, and healthcare needs. </w:t>
      </w:r>
    </w:p>
    <w:p w:rsidR="004E2CB7" w:rsidRPr="004E2CB7" w:rsidRDefault="004E2CB7" w:rsidP="004E2CB7">
      <w:pPr>
        <w:numPr>
          <w:ilvl w:val="0"/>
          <w:numId w:val="18"/>
        </w:numPr>
        <w:shd w:val="clear" w:color="auto" w:fill="FFFFFF"/>
        <w:spacing w:after="0" w:line="240" w:lineRule="auto"/>
        <w:ind w:left="1095"/>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b/>
          <w:bCs/>
          <w:color w:val="3D3D3D"/>
          <w:kern w:val="0"/>
          <w:sz w:val="26"/>
          <w:szCs w:val="26"/>
          <w14:ligatures w14:val="none"/>
        </w:rPr>
        <w:t>Business owners and employee benefits</w:t>
      </w:r>
      <w:r w:rsidRPr="004E2CB7">
        <w:rPr>
          <w:rFonts w:ascii="proxima" w:eastAsia="Times New Roman" w:hAnsi="proxima" w:cs="Times New Roman"/>
          <w:color w:val="3D3D3D"/>
          <w:kern w:val="0"/>
          <w:sz w:val="26"/>
          <w:szCs w:val="26"/>
          <w14:ligatures w14:val="none"/>
        </w:rPr>
        <w:t>: Additional tax-advantaged options exist for business owners and employees with employer-sponsored LTC plans. </w:t>
      </w:r>
    </w:p>
    <w:p w:rsidR="004E2CB7" w:rsidRPr="004E2CB7" w:rsidRDefault="004E2CB7" w:rsidP="004E2CB7">
      <w:pPr>
        <w:shd w:val="clear" w:color="auto" w:fill="FFFFFF"/>
        <w:spacing w:after="0" w:line="240" w:lineRule="auto"/>
        <w:rPr>
          <w:rFonts w:ascii="proxima" w:eastAsia="Times New Roman" w:hAnsi="proxima" w:cs="Times New Roman"/>
          <w:color w:val="3D3D3D"/>
          <w:kern w:val="0"/>
          <w:sz w:val="26"/>
          <w:szCs w:val="26"/>
          <w14:ligatures w14:val="none"/>
        </w:rPr>
      </w:pPr>
      <w:r w:rsidRPr="004E2CB7">
        <w:rPr>
          <w:rFonts w:ascii="proxima" w:eastAsia="Times New Roman" w:hAnsi="proxima" w:cs="Times New Roman"/>
          <w:color w:val="3D3D3D"/>
          <w:kern w:val="0"/>
          <w:sz w:val="26"/>
          <w:szCs w:val="26"/>
          <w14:ligatures w14:val="none"/>
        </w:rPr>
        <w:t>By incorporating LTC premiums into tax planning, individuals can enhance their financial well-being while making essential coverage more affordable. Taking a proactive approach to tax efficiency ensures clients not only protect their future care but also optimize their wealth management strategy. </w:t>
      </w:r>
    </w:p>
    <w:p w:rsidR="004E2CB7" w:rsidRPr="004E2CB7" w:rsidRDefault="004E2CB7" w:rsidP="004E2CB7">
      <w:pPr>
        <w:spacing w:after="0" w:line="240" w:lineRule="auto"/>
        <w:rPr>
          <w:rFonts w:ascii="Times New Roman" w:eastAsia="Times New Roman" w:hAnsi="Times New Roman" w:cs="Times New Roman"/>
          <w:kern w:val="0"/>
          <w14:ligatures w14:val="none"/>
        </w:rPr>
      </w:pPr>
    </w:p>
    <w:p w:rsidR="004E2CB7" w:rsidRDefault="004E2CB7"/>
    <w:sectPr w:rsidR="004E2CB7" w:rsidSect="00AF2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roxima">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6AD"/>
    <w:multiLevelType w:val="multilevel"/>
    <w:tmpl w:val="C1F2E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F28C1"/>
    <w:multiLevelType w:val="multilevel"/>
    <w:tmpl w:val="5920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A444A"/>
    <w:multiLevelType w:val="multilevel"/>
    <w:tmpl w:val="2FBC9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91C9D"/>
    <w:multiLevelType w:val="multilevel"/>
    <w:tmpl w:val="D32C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A65F4"/>
    <w:multiLevelType w:val="multilevel"/>
    <w:tmpl w:val="39F8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D5643"/>
    <w:multiLevelType w:val="multilevel"/>
    <w:tmpl w:val="02E0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D3D80"/>
    <w:multiLevelType w:val="multilevel"/>
    <w:tmpl w:val="4664E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6001DA"/>
    <w:multiLevelType w:val="multilevel"/>
    <w:tmpl w:val="663C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44AA0"/>
    <w:multiLevelType w:val="multilevel"/>
    <w:tmpl w:val="2D0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C7A27"/>
    <w:multiLevelType w:val="multilevel"/>
    <w:tmpl w:val="150C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E826D4"/>
    <w:multiLevelType w:val="multilevel"/>
    <w:tmpl w:val="7384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01490"/>
    <w:multiLevelType w:val="multilevel"/>
    <w:tmpl w:val="F374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77460"/>
    <w:multiLevelType w:val="multilevel"/>
    <w:tmpl w:val="BCD4B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F55D46"/>
    <w:multiLevelType w:val="multilevel"/>
    <w:tmpl w:val="41805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E4001"/>
    <w:multiLevelType w:val="multilevel"/>
    <w:tmpl w:val="6AF8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E0506"/>
    <w:multiLevelType w:val="multilevel"/>
    <w:tmpl w:val="B512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7242E"/>
    <w:multiLevelType w:val="multilevel"/>
    <w:tmpl w:val="5FDCF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4278E0"/>
    <w:multiLevelType w:val="multilevel"/>
    <w:tmpl w:val="099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968064">
    <w:abstractNumId w:val="16"/>
    <w:lvlOverride w:ilvl="0">
      <w:lvl w:ilvl="0">
        <w:numFmt w:val="bullet"/>
        <w:lvlText w:val=""/>
        <w:lvlJc w:val="left"/>
        <w:pPr>
          <w:tabs>
            <w:tab w:val="num" w:pos="720"/>
          </w:tabs>
          <w:ind w:left="720" w:hanging="360"/>
        </w:pPr>
        <w:rPr>
          <w:rFonts w:ascii="Symbol" w:hAnsi="Symbol" w:hint="default"/>
          <w:sz w:val="20"/>
        </w:rPr>
      </w:lvl>
    </w:lvlOverride>
  </w:num>
  <w:num w:numId="2" w16cid:durableId="417949196">
    <w:abstractNumId w:val="2"/>
    <w:lvlOverride w:ilvl="0">
      <w:lvl w:ilvl="0">
        <w:numFmt w:val="bullet"/>
        <w:lvlText w:val=""/>
        <w:lvlJc w:val="left"/>
        <w:pPr>
          <w:tabs>
            <w:tab w:val="num" w:pos="720"/>
          </w:tabs>
          <w:ind w:left="720" w:hanging="360"/>
        </w:pPr>
        <w:rPr>
          <w:rFonts w:ascii="Symbol" w:hAnsi="Symbol" w:hint="default"/>
          <w:sz w:val="20"/>
        </w:rPr>
      </w:lvl>
    </w:lvlOverride>
  </w:num>
  <w:num w:numId="3" w16cid:durableId="987246811">
    <w:abstractNumId w:val="12"/>
    <w:lvlOverride w:ilvl="0">
      <w:lvl w:ilvl="0">
        <w:numFmt w:val="bullet"/>
        <w:lvlText w:val=""/>
        <w:lvlJc w:val="left"/>
        <w:pPr>
          <w:tabs>
            <w:tab w:val="num" w:pos="720"/>
          </w:tabs>
          <w:ind w:left="720" w:hanging="360"/>
        </w:pPr>
        <w:rPr>
          <w:rFonts w:ascii="Symbol" w:hAnsi="Symbol" w:hint="default"/>
          <w:sz w:val="20"/>
        </w:rPr>
      </w:lvl>
    </w:lvlOverride>
  </w:num>
  <w:num w:numId="4" w16cid:durableId="1569262195">
    <w:abstractNumId w:val="13"/>
    <w:lvlOverride w:ilvl="0">
      <w:lvl w:ilvl="0">
        <w:numFmt w:val="bullet"/>
        <w:lvlText w:val=""/>
        <w:lvlJc w:val="left"/>
        <w:pPr>
          <w:tabs>
            <w:tab w:val="num" w:pos="720"/>
          </w:tabs>
          <w:ind w:left="720" w:hanging="360"/>
        </w:pPr>
        <w:rPr>
          <w:rFonts w:ascii="Symbol" w:hAnsi="Symbol" w:hint="default"/>
          <w:sz w:val="20"/>
        </w:rPr>
      </w:lvl>
    </w:lvlOverride>
  </w:num>
  <w:num w:numId="5" w16cid:durableId="867448907">
    <w:abstractNumId w:val="14"/>
  </w:num>
  <w:num w:numId="6" w16cid:durableId="1520775067">
    <w:abstractNumId w:val="11"/>
  </w:num>
  <w:num w:numId="7" w16cid:durableId="1746488890">
    <w:abstractNumId w:val="1"/>
  </w:num>
  <w:num w:numId="8" w16cid:durableId="1505780646">
    <w:abstractNumId w:val="7"/>
  </w:num>
  <w:num w:numId="9" w16cid:durableId="74788682">
    <w:abstractNumId w:val="3"/>
  </w:num>
  <w:num w:numId="10" w16cid:durableId="1647393400">
    <w:abstractNumId w:val="15"/>
  </w:num>
  <w:num w:numId="11" w16cid:durableId="1657175702">
    <w:abstractNumId w:val="10"/>
  </w:num>
  <w:num w:numId="12" w16cid:durableId="488641825">
    <w:abstractNumId w:val="4"/>
  </w:num>
  <w:num w:numId="13" w16cid:durableId="498695546">
    <w:abstractNumId w:val="8"/>
  </w:num>
  <w:num w:numId="14" w16cid:durableId="43456587">
    <w:abstractNumId w:val="17"/>
  </w:num>
  <w:num w:numId="15" w16cid:durableId="92675245">
    <w:abstractNumId w:val="5"/>
    <w:lvlOverride w:ilvl="0">
      <w:lvl w:ilvl="0">
        <w:numFmt w:val="bullet"/>
        <w:lvlText w:val=""/>
        <w:lvlJc w:val="left"/>
        <w:pPr>
          <w:tabs>
            <w:tab w:val="num" w:pos="720"/>
          </w:tabs>
          <w:ind w:left="720" w:hanging="360"/>
        </w:pPr>
        <w:rPr>
          <w:rFonts w:ascii="Symbol" w:hAnsi="Symbol" w:hint="default"/>
          <w:sz w:val="20"/>
        </w:rPr>
      </w:lvl>
    </w:lvlOverride>
  </w:num>
  <w:num w:numId="16" w16cid:durableId="2075276139">
    <w:abstractNumId w:val="0"/>
    <w:lvlOverride w:ilvl="0">
      <w:lvl w:ilvl="0">
        <w:numFmt w:val="bullet"/>
        <w:lvlText w:val=""/>
        <w:lvlJc w:val="left"/>
        <w:pPr>
          <w:tabs>
            <w:tab w:val="num" w:pos="720"/>
          </w:tabs>
          <w:ind w:left="720" w:hanging="360"/>
        </w:pPr>
        <w:rPr>
          <w:rFonts w:ascii="Symbol" w:hAnsi="Symbol" w:hint="default"/>
          <w:sz w:val="20"/>
        </w:rPr>
      </w:lvl>
    </w:lvlOverride>
  </w:num>
  <w:num w:numId="17" w16cid:durableId="1925334896">
    <w:abstractNumId w:val="6"/>
    <w:lvlOverride w:ilvl="0">
      <w:lvl w:ilvl="0">
        <w:numFmt w:val="bullet"/>
        <w:lvlText w:val=""/>
        <w:lvlJc w:val="left"/>
        <w:pPr>
          <w:tabs>
            <w:tab w:val="num" w:pos="720"/>
          </w:tabs>
          <w:ind w:left="720" w:hanging="360"/>
        </w:pPr>
        <w:rPr>
          <w:rFonts w:ascii="Symbol" w:hAnsi="Symbol" w:hint="default"/>
          <w:sz w:val="20"/>
        </w:rPr>
      </w:lvl>
    </w:lvlOverride>
  </w:num>
  <w:num w:numId="18" w16cid:durableId="1003361071">
    <w:abstractNumId w:val="9"/>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B7"/>
    <w:rsid w:val="00151908"/>
    <w:rsid w:val="0041284D"/>
    <w:rsid w:val="004E2CB7"/>
    <w:rsid w:val="00962464"/>
    <w:rsid w:val="00A82741"/>
    <w:rsid w:val="00AD6808"/>
    <w:rsid w:val="00AF254E"/>
    <w:rsid w:val="00BB2221"/>
    <w:rsid w:val="00C94ACA"/>
    <w:rsid w:val="00CF7C8E"/>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E9C239"/>
  <w15:chartTrackingRefBased/>
  <w15:docId w15:val="{B2D678C3-9E38-AA4E-A7FF-B18A74DD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CB7"/>
    <w:rPr>
      <w:rFonts w:eastAsiaTheme="majorEastAsia" w:cstheme="majorBidi"/>
      <w:color w:val="272727" w:themeColor="text1" w:themeTint="D8"/>
    </w:rPr>
  </w:style>
  <w:style w:type="paragraph" w:styleId="Title">
    <w:name w:val="Title"/>
    <w:basedOn w:val="Normal"/>
    <w:next w:val="Normal"/>
    <w:link w:val="TitleChar"/>
    <w:uiPriority w:val="10"/>
    <w:qFormat/>
    <w:rsid w:val="004E2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CB7"/>
    <w:pPr>
      <w:spacing w:before="160"/>
      <w:jc w:val="center"/>
    </w:pPr>
    <w:rPr>
      <w:i/>
      <w:iCs/>
      <w:color w:val="404040" w:themeColor="text1" w:themeTint="BF"/>
    </w:rPr>
  </w:style>
  <w:style w:type="character" w:customStyle="1" w:styleId="QuoteChar">
    <w:name w:val="Quote Char"/>
    <w:basedOn w:val="DefaultParagraphFont"/>
    <w:link w:val="Quote"/>
    <w:uiPriority w:val="29"/>
    <w:rsid w:val="004E2CB7"/>
    <w:rPr>
      <w:i/>
      <w:iCs/>
      <w:color w:val="404040" w:themeColor="text1" w:themeTint="BF"/>
    </w:rPr>
  </w:style>
  <w:style w:type="paragraph" w:styleId="ListParagraph">
    <w:name w:val="List Paragraph"/>
    <w:basedOn w:val="Normal"/>
    <w:uiPriority w:val="34"/>
    <w:qFormat/>
    <w:rsid w:val="004E2CB7"/>
    <w:pPr>
      <w:ind w:left="720"/>
      <w:contextualSpacing/>
    </w:pPr>
  </w:style>
  <w:style w:type="character" w:styleId="IntenseEmphasis">
    <w:name w:val="Intense Emphasis"/>
    <w:basedOn w:val="DefaultParagraphFont"/>
    <w:uiPriority w:val="21"/>
    <w:qFormat/>
    <w:rsid w:val="004E2CB7"/>
    <w:rPr>
      <w:i/>
      <w:iCs/>
      <w:color w:val="0F4761" w:themeColor="accent1" w:themeShade="BF"/>
    </w:rPr>
  </w:style>
  <w:style w:type="paragraph" w:styleId="IntenseQuote">
    <w:name w:val="Intense Quote"/>
    <w:basedOn w:val="Normal"/>
    <w:next w:val="Normal"/>
    <w:link w:val="IntenseQuoteChar"/>
    <w:uiPriority w:val="30"/>
    <w:qFormat/>
    <w:rsid w:val="004E2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CB7"/>
    <w:rPr>
      <w:i/>
      <w:iCs/>
      <w:color w:val="0F4761" w:themeColor="accent1" w:themeShade="BF"/>
    </w:rPr>
  </w:style>
  <w:style w:type="character" w:styleId="IntenseReference">
    <w:name w:val="Intense Reference"/>
    <w:basedOn w:val="DefaultParagraphFont"/>
    <w:uiPriority w:val="32"/>
    <w:qFormat/>
    <w:rsid w:val="004E2CB7"/>
    <w:rPr>
      <w:b/>
      <w:bCs/>
      <w:smallCaps/>
      <w:color w:val="0F4761" w:themeColor="accent1" w:themeShade="BF"/>
      <w:spacing w:val="5"/>
    </w:rPr>
  </w:style>
  <w:style w:type="paragraph" w:styleId="NormalWeb">
    <w:name w:val="Normal (Web)"/>
    <w:basedOn w:val="Normal"/>
    <w:uiPriority w:val="99"/>
    <w:semiHidden/>
    <w:unhideWhenUsed/>
    <w:rsid w:val="004E2CB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98549">
      <w:bodyDiv w:val="1"/>
      <w:marLeft w:val="0"/>
      <w:marRight w:val="0"/>
      <w:marTop w:val="0"/>
      <w:marBottom w:val="0"/>
      <w:divBdr>
        <w:top w:val="none" w:sz="0" w:space="0" w:color="auto"/>
        <w:left w:val="none" w:sz="0" w:space="0" w:color="auto"/>
        <w:bottom w:val="none" w:sz="0" w:space="0" w:color="auto"/>
        <w:right w:val="none" w:sz="0" w:space="0" w:color="auto"/>
      </w:divBdr>
    </w:div>
    <w:div w:id="206274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1</cp:revision>
  <dcterms:created xsi:type="dcterms:W3CDTF">2025-07-27T16:00:00Z</dcterms:created>
  <dcterms:modified xsi:type="dcterms:W3CDTF">2025-07-27T16:00:00Z</dcterms:modified>
</cp:coreProperties>
</file>