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119A6FE0" w:rsidR="00467418" w:rsidRDefault="00D25426" w:rsidP="00467418">
      <w:pPr>
        <w:rPr>
          <w:rFonts w:ascii="Arial" w:hAnsi="Arial" w:cs="Arial"/>
        </w:rPr>
      </w:pPr>
      <w:r>
        <w:rPr>
          <w:rFonts w:ascii="Arial" w:hAnsi="Arial" w:cs="Arial"/>
          <w:b/>
          <w:bCs/>
          <w:sz w:val="28"/>
          <w:szCs w:val="28"/>
        </w:rPr>
        <w:t>Email</w:t>
      </w:r>
      <w:r w:rsidR="00E239E2" w:rsidRPr="00D14E8F">
        <w:rPr>
          <w:rFonts w:ascii="Arial" w:hAnsi="Arial" w:cs="Arial"/>
          <w:b/>
          <w:bCs/>
          <w:sz w:val="28"/>
          <w:szCs w:val="28"/>
        </w:rPr>
        <w:t xml:space="preserve"> Content</w:t>
      </w:r>
    </w:p>
    <w:p w14:paraId="3E9A40FE" w14:textId="77777777" w:rsidR="00467418" w:rsidRDefault="00467418" w:rsidP="00467418">
      <w:pPr>
        <w:rPr>
          <w:rFonts w:ascii="Arial" w:hAnsi="Arial" w:cs="Arial"/>
        </w:rPr>
      </w:pPr>
    </w:p>
    <w:p w14:paraId="2834B4DC" w14:textId="77777777" w:rsidR="00D25426" w:rsidRPr="00D25426" w:rsidRDefault="00D25426" w:rsidP="00D25426">
      <w:pPr>
        <w:rPr>
          <w:rFonts w:ascii="Arial" w:hAnsi="Arial" w:cs="Arial"/>
        </w:rPr>
      </w:pPr>
      <w:r w:rsidRPr="00D25426">
        <w:rPr>
          <w:rFonts w:ascii="Arial" w:hAnsi="Arial" w:cs="Arial"/>
        </w:rPr>
        <w:t>If you’ve worked in the business market, you are undoubtedly familiar with Section 162 Bonus Plans. Rather than the traditional life insurance focused approach, this fresh approach delivers something that may be perceived as even more valuable: Long-Term Care coverage.</w:t>
      </w:r>
    </w:p>
    <w:p w14:paraId="090B1FD0" w14:textId="77777777" w:rsidR="00D25426" w:rsidRPr="00D25426" w:rsidRDefault="00D25426" w:rsidP="00D25426">
      <w:pPr>
        <w:rPr>
          <w:rFonts w:ascii="Arial" w:hAnsi="Arial" w:cs="Arial"/>
        </w:rPr>
      </w:pPr>
    </w:p>
    <w:p w14:paraId="0AD01168" w14:textId="77777777" w:rsidR="00D25426" w:rsidRPr="00D25426" w:rsidRDefault="00D25426" w:rsidP="00D25426">
      <w:pPr>
        <w:rPr>
          <w:rFonts w:ascii="Arial" w:hAnsi="Arial" w:cs="Arial"/>
        </w:rPr>
      </w:pPr>
      <w:r w:rsidRPr="00D25426">
        <w:rPr>
          <w:rFonts w:ascii="Arial" w:hAnsi="Arial" w:cs="Arial"/>
        </w:rPr>
        <w:t>Life insurance has long been used as an Executive Benefit, with myriad strategies for structuring agreements that can further corporate objectives around employee recruitment and retention. Despite the high usage rate of life insurance products, this use case has not carried over into the Asset-Based Long-Term Care (ABLTC) product segment. Given the forces in play that shine a light on the need for more effective care planning strategies and funding solutions, the benefits offered by an ABLTC solution may be more valuable than life insurance in the eyes of key employees.</w:t>
      </w:r>
    </w:p>
    <w:p w14:paraId="6B388803" w14:textId="77777777" w:rsidR="00D25426" w:rsidRPr="00D25426" w:rsidRDefault="00D25426" w:rsidP="00D25426">
      <w:pPr>
        <w:rPr>
          <w:rFonts w:ascii="Arial" w:hAnsi="Arial" w:cs="Arial"/>
        </w:rPr>
      </w:pPr>
    </w:p>
    <w:p w14:paraId="692F8D22" w14:textId="72C6D4FF" w:rsidR="00E239E2" w:rsidRPr="00D14E8F" w:rsidRDefault="00D25426" w:rsidP="00D25426">
      <w:pPr>
        <w:rPr>
          <w:rFonts w:ascii="Arial" w:hAnsi="Arial" w:cs="Arial"/>
        </w:rPr>
      </w:pPr>
      <w:r w:rsidRPr="00D25426">
        <w:rPr>
          <w:rFonts w:ascii="Arial" w:hAnsi="Arial" w:cs="Arial"/>
        </w:rPr>
        <w:t>Drop me a note or give me a call if you want to take a closer look at how we’re designing this strategy with other advisors.</w:t>
      </w: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471F6" w14:textId="77777777" w:rsidR="000875D4" w:rsidRDefault="000875D4" w:rsidP="00E239E2">
      <w:r>
        <w:separator/>
      </w:r>
    </w:p>
  </w:endnote>
  <w:endnote w:type="continuationSeparator" w:id="0">
    <w:p w14:paraId="26094AF5" w14:textId="77777777" w:rsidR="000875D4" w:rsidRDefault="000875D4"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1D994" w14:textId="77777777" w:rsidR="000875D4" w:rsidRDefault="000875D4" w:rsidP="00E239E2">
      <w:r>
        <w:separator/>
      </w:r>
    </w:p>
  </w:footnote>
  <w:footnote w:type="continuationSeparator" w:id="0">
    <w:p w14:paraId="598E1704" w14:textId="77777777" w:rsidR="000875D4" w:rsidRDefault="000875D4"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5"/>
  </w:num>
  <w:num w:numId="2" w16cid:durableId="457724416">
    <w:abstractNumId w:val="0"/>
  </w:num>
  <w:num w:numId="3" w16cid:durableId="1282228325">
    <w:abstractNumId w:val="4"/>
  </w:num>
  <w:num w:numId="4" w16cid:durableId="201332239">
    <w:abstractNumId w:val="3"/>
  </w:num>
  <w:num w:numId="5" w16cid:durableId="1000305217">
    <w:abstractNumId w:val="6"/>
  </w:num>
  <w:num w:numId="6" w16cid:durableId="871846881">
    <w:abstractNumId w:val="1"/>
  </w:num>
  <w:num w:numId="7" w16cid:durableId="34358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10983"/>
    <w:rsid w:val="000875D4"/>
    <w:rsid w:val="00106F43"/>
    <w:rsid w:val="001502D6"/>
    <w:rsid w:val="00151908"/>
    <w:rsid w:val="002F4D4F"/>
    <w:rsid w:val="00307215"/>
    <w:rsid w:val="00467418"/>
    <w:rsid w:val="00483BC6"/>
    <w:rsid w:val="00645220"/>
    <w:rsid w:val="00654F38"/>
    <w:rsid w:val="00A10F6A"/>
    <w:rsid w:val="00A6149A"/>
    <w:rsid w:val="00A82741"/>
    <w:rsid w:val="00AD6808"/>
    <w:rsid w:val="00AF254E"/>
    <w:rsid w:val="00C94ACA"/>
    <w:rsid w:val="00D14E8F"/>
    <w:rsid w:val="00D25426"/>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2024-10-02T16:06:00Z</dcterms:created>
  <dcterms:modified xsi:type="dcterms:W3CDTF">2024-10-02T16:06:00Z</dcterms:modified>
</cp:coreProperties>
</file>