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C74A" w14:textId="77777777" w:rsidR="00495364" w:rsidRPr="00D14E8F" w:rsidRDefault="00495364" w:rsidP="00495364">
      <w:pPr>
        <w:spacing w:after="312"/>
        <w:rPr>
          <w:rFonts w:ascii="Arial" w:eastAsia="Times New Roman" w:hAnsi="Arial" w:cs="Arial"/>
          <w:b/>
          <w:bCs/>
          <w:sz w:val="28"/>
          <w:szCs w:val="28"/>
        </w:rPr>
      </w:pPr>
      <w:r w:rsidRPr="00D14E8F">
        <w:rPr>
          <w:rFonts w:ascii="Arial" w:eastAsia="Times New Roman" w:hAnsi="Arial" w:cs="Arial"/>
          <w:b/>
          <w:bCs/>
          <w:sz w:val="28"/>
          <w:szCs w:val="28"/>
        </w:rPr>
        <w:t>Email Content</w:t>
      </w:r>
    </w:p>
    <w:p w14:paraId="49706F33" w14:textId="77777777" w:rsidR="00495364" w:rsidRPr="004C21E4" w:rsidRDefault="00495364" w:rsidP="00495364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4C21E4">
        <w:rPr>
          <w:rFonts w:ascii="Arial" w:eastAsia="Times New Roman" w:hAnsi="Arial" w:cs="Arial"/>
          <w:color w:val="3D3D3D"/>
          <w:sz w:val="26"/>
          <w:szCs w:val="26"/>
        </w:rPr>
        <w:t xml:space="preserve">There could be a piece missing from your asset allocation strategy: Asset location. You’re probably already using asset location to reduce income taxes for your </w:t>
      </w:r>
      <w:proofErr w:type="gramStart"/>
      <w:r w:rsidRPr="004C21E4">
        <w:rPr>
          <w:rFonts w:ascii="Arial" w:eastAsia="Times New Roman" w:hAnsi="Arial" w:cs="Arial"/>
          <w:color w:val="3D3D3D"/>
          <w:sz w:val="26"/>
          <w:szCs w:val="26"/>
        </w:rPr>
        <w:t>clients, but</w:t>
      </w:r>
      <w:proofErr w:type="gramEnd"/>
      <w:r w:rsidRPr="004C21E4">
        <w:rPr>
          <w:rFonts w:ascii="Arial" w:eastAsia="Times New Roman" w:hAnsi="Arial" w:cs="Arial"/>
          <w:color w:val="3D3D3D"/>
          <w:sz w:val="26"/>
          <w:szCs w:val="26"/>
        </w:rPr>
        <w:t xml:space="preserve"> may struggle to find sources of tax-favored market returns. Roth IRAs are means tested and other tax-favored assets simply don’t offer enough growth potential.</w:t>
      </w:r>
    </w:p>
    <w:p w14:paraId="7966C107" w14:textId="77777777" w:rsidR="00495364" w:rsidRPr="004C21E4" w:rsidRDefault="00495364" w:rsidP="00495364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p w14:paraId="76083103" w14:textId="77777777" w:rsidR="00495364" w:rsidRPr="004C21E4" w:rsidRDefault="00495364" w:rsidP="00495364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4C21E4">
        <w:rPr>
          <w:rFonts w:ascii="Arial" w:eastAsia="Times New Roman" w:hAnsi="Arial" w:cs="Arial"/>
          <w:color w:val="3D3D3D"/>
          <w:sz w:val="26"/>
          <w:szCs w:val="26"/>
        </w:rPr>
        <w:t xml:space="preserve">Ironically, most simply look past </w:t>
      </w:r>
      <w:proofErr w:type="spellStart"/>
      <w:proofErr w:type="gramStart"/>
      <w:r w:rsidRPr="004C21E4">
        <w:rPr>
          <w:rFonts w:ascii="Arial" w:eastAsia="Times New Roman" w:hAnsi="Arial" w:cs="Arial"/>
          <w:color w:val="3D3D3D"/>
          <w:sz w:val="26"/>
          <w:szCs w:val="26"/>
        </w:rPr>
        <w:t>a</w:t>
      </w:r>
      <w:proofErr w:type="spellEnd"/>
      <w:proofErr w:type="gramEnd"/>
      <w:r w:rsidRPr="004C21E4">
        <w:rPr>
          <w:rFonts w:ascii="Arial" w:eastAsia="Times New Roman" w:hAnsi="Arial" w:cs="Arial"/>
          <w:color w:val="3D3D3D"/>
          <w:sz w:val="26"/>
          <w:szCs w:val="26"/>
        </w:rPr>
        <w:t xml:space="preserve"> asset class that offers the perfect blend of market upside and tax efficiency that also happens to be well established in the internal revenue code. </w:t>
      </w:r>
    </w:p>
    <w:p w14:paraId="334D2984" w14:textId="77777777" w:rsidR="00495364" w:rsidRPr="004C21E4" w:rsidRDefault="00495364" w:rsidP="00495364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p w14:paraId="323E764F" w14:textId="0914083B" w:rsidR="00495364" w:rsidRDefault="00495364" w:rsidP="00495364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4C21E4">
        <w:rPr>
          <w:rFonts w:ascii="Arial" w:eastAsia="Times New Roman" w:hAnsi="Arial" w:cs="Arial"/>
          <w:color w:val="3D3D3D"/>
          <w:sz w:val="26"/>
          <w:szCs w:val="26"/>
        </w:rPr>
        <w:t>Drop me a note or give me a call if you want to take a closer look at how we’re designing this strategy with other advisors.</w:t>
      </w:r>
    </w:p>
    <w:p w14:paraId="214D87DF" w14:textId="5774FC3D" w:rsidR="00495364" w:rsidRDefault="00495364" w:rsidP="00495364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p w14:paraId="64BA70AC" w14:textId="77777777" w:rsidR="00495364" w:rsidRPr="00D14E8F" w:rsidRDefault="00495364">
      <w:pPr>
        <w:rPr>
          <w:rFonts w:ascii="Arial" w:hAnsi="Arial" w:cs="Arial"/>
        </w:rPr>
      </w:pPr>
    </w:p>
    <w:sectPr w:rsidR="00495364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1049" w14:textId="77777777" w:rsidR="003C1852" w:rsidRDefault="003C1852" w:rsidP="00E239E2">
      <w:r>
        <w:separator/>
      </w:r>
    </w:p>
  </w:endnote>
  <w:endnote w:type="continuationSeparator" w:id="0">
    <w:p w14:paraId="30F0F0A5" w14:textId="77777777" w:rsidR="003C1852" w:rsidRDefault="003C1852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15158562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A36F" w14:textId="77777777" w:rsidR="003C1852" w:rsidRDefault="003C1852" w:rsidP="00E239E2">
      <w:r>
        <w:separator/>
      </w:r>
    </w:p>
  </w:footnote>
  <w:footnote w:type="continuationSeparator" w:id="0">
    <w:p w14:paraId="204520D4" w14:textId="77777777" w:rsidR="003C1852" w:rsidRDefault="003C1852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502D6"/>
    <w:rsid w:val="00151908"/>
    <w:rsid w:val="002F4D4F"/>
    <w:rsid w:val="00307215"/>
    <w:rsid w:val="003C1852"/>
    <w:rsid w:val="00483BC6"/>
    <w:rsid w:val="00495364"/>
    <w:rsid w:val="004C21E4"/>
    <w:rsid w:val="00645220"/>
    <w:rsid w:val="00654F38"/>
    <w:rsid w:val="00857AF5"/>
    <w:rsid w:val="00A10F6A"/>
    <w:rsid w:val="00A6149A"/>
    <w:rsid w:val="00A82741"/>
    <w:rsid w:val="00AD6808"/>
    <w:rsid w:val="00AF254E"/>
    <w:rsid w:val="00C94ACA"/>
    <w:rsid w:val="00D14E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2024-10-07T18:36:00Z</dcterms:created>
  <dcterms:modified xsi:type="dcterms:W3CDTF">2024-10-07T18:36:00Z</dcterms:modified>
</cp:coreProperties>
</file>