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A Smarter Approach to Accumulation IUL Case Design</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The traditional method for designing accumulation-focused Indexed UL (IUL) strategies typically involves minimizing the death benefit. This is often paired with using the highest AG49-compliant illustrated rate to maximize projected income. While this approach can create a strong illustration, it may not always translate into the best real-world results.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A more strategic, balanced approach to case design can enhance value across multiple dimensions, delivering benefits beyond just illustrated income. Stress testing and more conservative illustrated rates highlight the limitations of conventional designs, leading to an alternative strategy that optimizes both protection and accumulation.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The Benefits of a Balanced Approach</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By adopting a more balanced approach to case design, clients can experience: </w:t>
      </w:r>
    </w:p>
    <w:p w:rsidR="00B21070" w:rsidRPr="00B21070" w:rsidRDefault="00B21070" w:rsidP="00B21070">
      <w:pPr>
        <w:numPr>
          <w:ilvl w:val="0"/>
          <w:numId w:val="1"/>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Increased Initial Face Amount</w:t>
      </w:r>
      <w:r w:rsidRPr="00B21070">
        <w:rPr>
          <w:rFonts w:ascii="proxima" w:eastAsia="Times New Roman" w:hAnsi="proxima" w:cs="Times New Roman"/>
          <w:color w:val="3D3D3D"/>
          <w:kern w:val="0"/>
          <w:sz w:val="26"/>
          <w:szCs w:val="26"/>
          <w14:ligatures w14:val="none"/>
        </w:rPr>
        <w:t> – Providing greater coverage for their loved ones. </w:t>
      </w:r>
    </w:p>
    <w:p w:rsidR="00B21070" w:rsidRPr="00B21070" w:rsidRDefault="00B21070" w:rsidP="00B21070">
      <w:pPr>
        <w:numPr>
          <w:ilvl w:val="0"/>
          <w:numId w:val="2"/>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Enhanced Accelerated Benefit Riders</w:t>
      </w:r>
      <w:r w:rsidRPr="00B21070">
        <w:rPr>
          <w:rFonts w:ascii="proxima" w:eastAsia="Times New Roman" w:hAnsi="proxima" w:cs="Times New Roman"/>
          <w:color w:val="3D3D3D"/>
          <w:kern w:val="0"/>
          <w:sz w:val="26"/>
          <w:szCs w:val="26"/>
          <w14:ligatures w14:val="none"/>
        </w:rPr>
        <w:t> – A higher face amount leads to a larger maximum lifetime benefit. </w:t>
      </w:r>
    </w:p>
    <w:p w:rsidR="00B21070" w:rsidRPr="00B21070" w:rsidRDefault="00B21070" w:rsidP="00B21070">
      <w:pPr>
        <w:numPr>
          <w:ilvl w:val="0"/>
          <w:numId w:val="3"/>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Greater Funding Capacity</w:t>
      </w:r>
      <w:r w:rsidRPr="00B21070">
        <w:rPr>
          <w:rFonts w:ascii="proxima" w:eastAsia="Times New Roman" w:hAnsi="proxima" w:cs="Times New Roman"/>
          <w:color w:val="3D3D3D"/>
          <w:kern w:val="0"/>
          <w:sz w:val="26"/>
          <w:szCs w:val="26"/>
          <w14:ligatures w14:val="none"/>
        </w:rPr>
        <w:t> – Allowing for increased contributions to the “Tax-Free Bucket” in retirement planning, should investable cash flow grow.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All these advantages come without requiring the client to pay additional premiums. Below are the tangible impacts of this approach: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[Insert Figure 1 Here]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Key Outcomes</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numPr>
          <w:ilvl w:val="0"/>
          <w:numId w:val="4"/>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$248,387 Additional Coverage</w:t>
      </w:r>
      <w:r w:rsidRPr="00B21070">
        <w:rPr>
          <w:rFonts w:ascii="proxima" w:eastAsia="Times New Roman" w:hAnsi="proxima" w:cs="Times New Roman"/>
          <w:color w:val="3D3D3D"/>
          <w:kern w:val="0"/>
          <w:sz w:val="26"/>
          <w:szCs w:val="26"/>
          <w14:ligatures w14:val="none"/>
        </w:rPr>
        <w:t> – Representing a 61% increase over a traditional design. </w:t>
      </w:r>
    </w:p>
    <w:p w:rsidR="00B21070" w:rsidRPr="00B21070" w:rsidRDefault="00B21070" w:rsidP="00B21070">
      <w:pPr>
        <w:numPr>
          <w:ilvl w:val="0"/>
          <w:numId w:val="5"/>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Expanded Chronic Illness ABR Benefits</w:t>
      </w:r>
      <w:r w:rsidRPr="00B21070">
        <w:rPr>
          <w:rFonts w:ascii="proxima" w:eastAsia="Times New Roman" w:hAnsi="proxima" w:cs="Times New Roman"/>
          <w:color w:val="3D3D3D"/>
          <w:kern w:val="0"/>
          <w:sz w:val="26"/>
          <w:szCs w:val="26"/>
          <w14:ligatures w14:val="none"/>
        </w:rPr>
        <w:t> – With a larger face amount, clients gain access to significantly more cash when they need it most. </w:t>
      </w:r>
    </w:p>
    <w:p w:rsidR="00B21070" w:rsidRPr="00B21070" w:rsidRDefault="00B21070" w:rsidP="00B21070">
      <w:pPr>
        <w:numPr>
          <w:ilvl w:val="0"/>
          <w:numId w:val="6"/>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Traditional Design: $404,941 Maximum Lifetime Benefit </w:t>
      </w:r>
    </w:p>
    <w:p w:rsidR="00B21070" w:rsidRPr="00B21070" w:rsidRDefault="00B21070" w:rsidP="00B21070">
      <w:pPr>
        <w:numPr>
          <w:ilvl w:val="0"/>
          <w:numId w:val="7"/>
        </w:numPr>
        <w:shd w:val="clear" w:color="auto" w:fill="FFFFFF"/>
        <w:spacing w:after="0" w:line="306" w:lineRule="atLeast"/>
        <w:ind w:left="1095"/>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Balanced Approach: $653,328 Maximum Lifetime Benefit (</w:t>
      </w:r>
      <w:r w:rsidRPr="00B21070">
        <w:rPr>
          <w:rFonts w:ascii="proxima" w:eastAsia="Times New Roman" w:hAnsi="proxima" w:cs="Times New Roman"/>
          <w:b/>
          <w:bCs/>
          <w:color w:val="3D3D3D"/>
          <w:kern w:val="0"/>
          <w:sz w:val="26"/>
          <w:szCs w:val="26"/>
          <w14:ligatures w14:val="none"/>
        </w:rPr>
        <w:t>81% Increase</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Impact on Illustrated Income</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With over $14,000 in additional funding capacity per year, this approach significantly increases long-term accumulation potential. Since funding limits roll forward, by the 10th policy year, clients can gain an </w:t>
      </w:r>
      <w:r w:rsidRPr="00B21070">
        <w:rPr>
          <w:rFonts w:ascii="proxima" w:eastAsia="Times New Roman" w:hAnsi="proxima" w:cs="Times New Roman"/>
          <w:b/>
          <w:bCs/>
          <w:color w:val="3D3D3D"/>
          <w:kern w:val="0"/>
          <w:sz w:val="26"/>
          <w:szCs w:val="26"/>
          <w14:ligatures w14:val="none"/>
        </w:rPr>
        <w:t>additional $140,000 in funding capacity.</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The Advisor’s Advantage</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As face amounts increase, so does the </w:t>
      </w:r>
      <w:r w:rsidRPr="00B21070">
        <w:rPr>
          <w:rFonts w:ascii="proxima" w:eastAsia="Times New Roman" w:hAnsi="proxima" w:cs="Times New Roman"/>
          <w:b/>
          <w:bCs/>
          <w:color w:val="3D3D3D"/>
          <w:kern w:val="0"/>
          <w:sz w:val="26"/>
          <w:szCs w:val="26"/>
          <w14:ligatures w14:val="none"/>
        </w:rPr>
        <w:t>Target Premium</w:t>
      </w:r>
      <w:r w:rsidRPr="00B21070">
        <w:rPr>
          <w:rFonts w:ascii="proxima" w:eastAsia="Times New Roman" w:hAnsi="proxima" w:cs="Times New Roman"/>
          <w:color w:val="3D3D3D"/>
          <w:kern w:val="0"/>
          <w:sz w:val="26"/>
          <w:szCs w:val="26"/>
          <w14:ligatures w14:val="none"/>
        </w:rPr>
        <w:t>. This balanced strategy boosts Target Premium by </w:t>
      </w:r>
      <w:r w:rsidRPr="00B21070">
        <w:rPr>
          <w:rFonts w:ascii="proxima" w:eastAsia="Times New Roman" w:hAnsi="proxima" w:cs="Times New Roman"/>
          <w:b/>
          <w:bCs/>
          <w:color w:val="3D3D3D"/>
          <w:kern w:val="0"/>
          <w:sz w:val="26"/>
          <w:szCs w:val="26"/>
          <w14:ligatures w14:val="none"/>
        </w:rPr>
        <w:t>61%</w:t>
      </w:r>
      <w:r w:rsidRPr="00B21070">
        <w:rPr>
          <w:rFonts w:ascii="proxima" w:eastAsia="Times New Roman" w:hAnsi="proxima" w:cs="Times New Roman"/>
          <w:color w:val="3D3D3D"/>
          <w:kern w:val="0"/>
          <w:sz w:val="26"/>
          <w:szCs w:val="26"/>
          <w14:ligatures w14:val="none"/>
        </w:rPr>
        <w:t>, creating a win-win scenario for both clients and advisors.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b/>
          <w:bCs/>
          <w:color w:val="3D3D3D"/>
          <w:kern w:val="0"/>
          <w:sz w:val="26"/>
          <w:szCs w:val="26"/>
          <w14:ligatures w14:val="none"/>
        </w:rPr>
        <w:t>Product Compatibility</w:t>
      </w:r>
      <w:r w:rsidRPr="00B21070">
        <w:rPr>
          <w:rFonts w:ascii="proxima" w:eastAsia="Times New Roman" w:hAnsi="proxima" w:cs="Times New Roman"/>
          <w:color w:val="3D3D3D"/>
          <w:kern w:val="0"/>
          <w:sz w:val="26"/>
          <w:szCs w:val="26"/>
          <w14:ligatures w14:val="none"/>
        </w:rPr>
        <w: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lastRenderedPageBreak/>
        <w:t>This strategy can be applied to most accumulation-focused IUL and VUL products. While case design will require a manual approach, increasing the face amount by </w:t>
      </w:r>
      <w:r w:rsidRPr="00B21070">
        <w:rPr>
          <w:rFonts w:ascii="proxima" w:eastAsia="Times New Roman" w:hAnsi="proxima" w:cs="Times New Roman"/>
          <w:b/>
          <w:bCs/>
          <w:color w:val="3D3D3D"/>
          <w:kern w:val="0"/>
          <w:sz w:val="26"/>
          <w:szCs w:val="26"/>
          <w14:ligatures w14:val="none"/>
        </w:rPr>
        <w:t>50% from a maximum accumulation solve</w:t>
      </w:r>
      <w:r w:rsidRPr="00B21070">
        <w:rPr>
          <w:rFonts w:ascii="proxima" w:eastAsia="Times New Roman" w:hAnsi="proxima" w:cs="Times New Roman"/>
          <w:color w:val="3D3D3D"/>
          <w:kern w:val="0"/>
          <w:sz w:val="26"/>
          <w:szCs w:val="26"/>
          <w14:ligatures w14:val="none"/>
        </w:rPr>
        <w:t> can be a strong starting point. </w:t>
      </w:r>
    </w:p>
    <w:p w:rsidR="00B21070" w:rsidRPr="00B21070" w:rsidRDefault="00B21070" w:rsidP="00B21070">
      <w:pPr>
        <w:shd w:val="clear" w:color="auto" w:fill="FFFFFF"/>
        <w:spacing w:after="0" w:line="240" w:lineRule="auto"/>
        <w:rPr>
          <w:rFonts w:ascii="proxima" w:eastAsia="Times New Roman" w:hAnsi="proxima" w:cs="Times New Roman"/>
          <w:color w:val="3D3D3D"/>
          <w:kern w:val="0"/>
          <w:sz w:val="26"/>
          <w:szCs w:val="26"/>
          <w14:ligatures w14:val="none"/>
        </w:rPr>
      </w:pPr>
      <w:r w:rsidRPr="00B21070">
        <w:rPr>
          <w:rFonts w:ascii="proxima" w:eastAsia="Times New Roman" w:hAnsi="proxima" w:cs="Times New Roman"/>
          <w:color w:val="3D3D3D"/>
          <w:kern w:val="0"/>
          <w:sz w:val="26"/>
          <w:szCs w:val="26"/>
          <w14:ligatures w14:val="none"/>
        </w:rPr>
        <w:t>By shifting to a more balanced approach, clients and advisors alike can achieve greater long-term value from Indexed UL products. </w:t>
      </w:r>
    </w:p>
    <w:p w:rsidR="00C94ACA" w:rsidRDefault="00C94ACA"/>
    <w:sectPr w:rsidR="00C94ACA" w:rsidSect="00AF2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roxima">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936"/>
    <w:multiLevelType w:val="multilevel"/>
    <w:tmpl w:val="3314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225B6"/>
    <w:multiLevelType w:val="multilevel"/>
    <w:tmpl w:val="CCE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D2F43"/>
    <w:multiLevelType w:val="multilevel"/>
    <w:tmpl w:val="B84A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10FEB"/>
    <w:multiLevelType w:val="multilevel"/>
    <w:tmpl w:val="C556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D7B89"/>
    <w:multiLevelType w:val="multilevel"/>
    <w:tmpl w:val="024C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07E1C"/>
    <w:multiLevelType w:val="multilevel"/>
    <w:tmpl w:val="892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CF2123"/>
    <w:multiLevelType w:val="multilevel"/>
    <w:tmpl w:val="0A6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338021">
    <w:abstractNumId w:val="5"/>
  </w:num>
  <w:num w:numId="2" w16cid:durableId="298845521">
    <w:abstractNumId w:val="4"/>
  </w:num>
  <w:num w:numId="3" w16cid:durableId="1763449370">
    <w:abstractNumId w:val="3"/>
  </w:num>
  <w:num w:numId="4" w16cid:durableId="1163814765">
    <w:abstractNumId w:val="6"/>
  </w:num>
  <w:num w:numId="5" w16cid:durableId="1888300739">
    <w:abstractNumId w:val="1"/>
  </w:num>
  <w:num w:numId="6" w16cid:durableId="1917473620">
    <w:abstractNumId w:val="2"/>
  </w:num>
  <w:num w:numId="7" w16cid:durableId="76057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70"/>
    <w:rsid w:val="00151908"/>
    <w:rsid w:val="0041284D"/>
    <w:rsid w:val="00962464"/>
    <w:rsid w:val="00A82741"/>
    <w:rsid w:val="00AD6808"/>
    <w:rsid w:val="00AF254E"/>
    <w:rsid w:val="00B21070"/>
    <w:rsid w:val="00BB2221"/>
    <w:rsid w:val="00C94ACA"/>
    <w:rsid w:val="00CF7C8E"/>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FC381CF-BB4E-3449-BA91-A228C78B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070"/>
    <w:rPr>
      <w:rFonts w:eastAsiaTheme="majorEastAsia" w:cstheme="majorBidi"/>
      <w:color w:val="272727" w:themeColor="text1" w:themeTint="D8"/>
    </w:rPr>
  </w:style>
  <w:style w:type="paragraph" w:styleId="Title">
    <w:name w:val="Title"/>
    <w:basedOn w:val="Normal"/>
    <w:next w:val="Normal"/>
    <w:link w:val="TitleChar"/>
    <w:uiPriority w:val="10"/>
    <w:qFormat/>
    <w:rsid w:val="00B21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070"/>
    <w:pPr>
      <w:spacing w:before="160"/>
      <w:jc w:val="center"/>
    </w:pPr>
    <w:rPr>
      <w:i/>
      <w:iCs/>
      <w:color w:val="404040" w:themeColor="text1" w:themeTint="BF"/>
    </w:rPr>
  </w:style>
  <w:style w:type="character" w:customStyle="1" w:styleId="QuoteChar">
    <w:name w:val="Quote Char"/>
    <w:basedOn w:val="DefaultParagraphFont"/>
    <w:link w:val="Quote"/>
    <w:uiPriority w:val="29"/>
    <w:rsid w:val="00B21070"/>
    <w:rPr>
      <w:i/>
      <w:iCs/>
      <w:color w:val="404040" w:themeColor="text1" w:themeTint="BF"/>
    </w:rPr>
  </w:style>
  <w:style w:type="paragraph" w:styleId="ListParagraph">
    <w:name w:val="List Paragraph"/>
    <w:basedOn w:val="Normal"/>
    <w:uiPriority w:val="34"/>
    <w:qFormat/>
    <w:rsid w:val="00B21070"/>
    <w:pPr>
      <w:ind w:left="720"/>
      <w:contextualSpacing/>
    </w:pPr>
  </w:style>
  <w:style w:type="character" w:styleId="IntenseEmphasis">
    <w:name w:val="Intense Emphasis"/>
    <w:basedOn w:val="DefaultParagraphFont"/>
    <w:uiPriority w:val="21"/>
    <w:qFormat/>
    <w:rsid w:val="00B21070"/>
    <w:rPr>
      <w:i/>
      <w:iCs/>
      <w:color w:val="0F4761" w:themeColor="accent1" w:themeShade="BF"/>
    </w:rPr>
  </w:style>
  <w:style w:type="paragraph" w:styleId="IntenseQuote">
    <w:name w:val="Intense Quote"/>
    <w:basedOn w:val="Normal"/>
    <w:next w:val="Normal"/>
    <w:link w:val="IntenseQuoteChar"/>
    <w:uiPriority w:val="30"/>
    <w:qFormat/>
    <w:rsid w:val="00B21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070"/>
    <w:rPr>
      <w:i/>
      <w:iCs/>
      <w:color w:val="0F4761" w:themeColor="accent1" w:themeShade="BF"/>
    </w:rPr>
  </w:style>
  <w:style w:type="character" w:styleId="IntenseReference">
    <w:name w:val="Intense Reference"/>
    <w:basedOn w:val="DefaultParagraphFont"/>
    <w:uiPriority w:val="32"/>
    <w:qFormat/>
    <w:rsid w:val="00B21070"/>
    <w:rPr>
      <w:b/>
      <w:bCs/>
      <w:smallCaps/>
      <w:color w:val="0F4761" w:themeColor="accent1" w:themeShade="BF"/>
      <w:spacing w:val="5"/>
    </w:rPr>
  </w:style>
  <w:style w:type="paragraph" w:styleId="NormalWeb">
    <w:name w:val="Normal (Web)"/>
    <w:basedOn w:val="Normal"/>
    <w:uiPriority w:val="99"/>
    <w:semiHidden/>
    <w:unhideWhenUsed/>
    <w:rsid w:val="00B2107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14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1</cp:revision>
  <dcterms:created xsi:type="dcterms:W3CDTF">2025-07-27T15:24:00Z</dcterms:created>
  <dcterms:modified xsi:type="dcterms:W3CDTF">2025-07-27T15:47:00Z</dcterms:modified>
</cp:coreProperties>
</file>